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00B80" w14:textId="77777777"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Program: Programul Regional Sud-Est 2021-2027</w:t>
      </w:r>
    </w:p>
    <w:p w14:paraId="06A5F0B7" w14:textId="4BD47A49"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Obiectivul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7104D56" w14:textId="77777777"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 xml:space="preserve">Prioritatea 2 - O regiune cu localităţi prietenoase cu mediul </w:t>
      </w:r>
    </w:p>
    <w:p w14:paraId="3773A034" w14:textId="77777777"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 xml:space="preserve">Obiectiv Specific 2.1 - Promovarea eficienței energetice și reducerea emisiilor de gaze cu efect de seră </w:t>
      </w:r>
    </w:p>
    <w:p w14:paraId="69D5BB10" w14:textId="77777777"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 xml:space="preserve">Acţiunea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47763C4A" w14:textId="77777777" w:rsidR="003F4EAD"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Operaţiunea C Măsuri de eficienţă energetică în locuinţele unifamiliale</w:t>
      </w:r>
    </w:p>
    <w:p w14:paraId="32397ED1" w14:textId="1DF3B6CE" w:rsidR="000D027B" w:rsidRPr="00EE5D89" w:rsidRDefault="003F4EAD" w:rsidP="003F4EAD">
      <w:pPr>
        <w:spacing w:after="0"/>
        <w:jc w:val="both"/>
        <w:rPr>
          <w:b/>
          <w:bCs/>
          <w:color w:val="2F5496" w:themeColor="accent1" w:themeShade="BF"/>
          <w:lang w:val="ro-RO"/>
        </w:rPr>
      </w:pPr>
      <w:r w:rsidRPr="00EE5D89">
        <w:rPr>
          <w:b/>
          <w:bCs/>
          <w:color w:val="2F5496" w:themeColor="accent1" w:themeShade="BF"/>
          <w:lang w:val="ro-RO"/>
        </w:rPr>
        <w:t>PR/SE/2.1/C/1/2025</w:t>
      </w:r>
    </w:p>
    <w:p w14:paraId="3B033DE1" w14:textId="77777777" w:rsidR="00FD1A8D" w:rsidRPr="00395F1D" w:rsidRDefault="00FD1A8D" w:rsidP="00981FA1">
      <w:pPr>
        <w:tabs>
          <w:tab w:val="left" w:pos="3636"/>
        </w:tabs>
        <w:spacing w:after="0" w:line="276" w:lineRule="auto"/>
        <w:rPr>
          <w:rFonts w:cstheme="minorHAnsi"/>
          <w:b/>
          <w:bCs/>
          <w:lang w:val="ro-RO"/>
        </w:rPr>
      </w:pPr>
    </w:p>
    <w:p w14:paraId="13F312F4" w14:textId="29DB797E" w:rsidR="00106BDC" w:rsidRPr="00395F1D" w:rsidRDefault="00106BDC" w:rsidP="00C3776E">
      <w:pPr>
        <w:spacing w:line="276" w:lineRule="auto"/>
        <w:jc w:val="right"/>
        <w:rPr>
          <w:rStyle w:val="Style1"/>
          <w:rFonts w:cstheme="minorHAnsi"/>
          <w:bCs/>
          <w:lang w:val="ro-RO"/>
        </w:rPr>
      </w:pPr>
      <w:r w:rsidRPr="00395F1D">
        <w:rPr>
          <w:rFonts w:cstheme="minorHAnsi"/>
          <w:b/>
          <w:bCs/>
          <w:lang w:val="ro-RO"/>
        </w:rPr>
        <w:t xml:space="preserve">Anexa </w:t>
      </w:r>
      <w:r w:rsidR="00C925FA" w:rsidRPr="00395F1D">
        <w:rPr>
          <w:rFonts w:cstheme="minorHAnsi"/>
          <w:b/>
          <w:bCs/>
          <w:lang w:val="ro-RO"/>
        </w:rPr>
        <w:t>4</w:t>
      </w:r>
    </w:p>
    <w:p w14:paraId="4548D6F6" w14:textId="3EC1392E" w:rsidR="00C7699F" w:rsidRPr="00395F1D" w:rsidRDefault="00156BD4" w:rsidP="00381B2C">
      <w:pPr>
        <w:tabs>
          <w:tab w:val="left" w:pos="3636"/>
        </w:tabs>
        <w:spacing w:line="276" w:lineRule="auto"/>
        <w:jc w:val="center"/>
        <w:rPr>
          <w:rFonts w:cstheme="minorHAnsi"/>
          <w:b/>
          <w:bCs/>
          <w:lang w:val="ro-RO"/>
        </w:rPr>
      </w:pPr>
      <w:r w:rsidRPr="00395F1D">
        <w:rPr>
          <w:rFonts w:cstheme="minorHAnsi"/>
          <w:b/>
          <w:bCs/>
          <w:lang w:val="ro-RO"/>
        </w:rPr>
        <w:t xml:space="preserve">LISTA INDICATORILOR </w:t>
      </w:r>
      <w:r w:rsidR="00E75FBC" w:rsidRPr="00395F1D">
        <w:rPr>
          <w:rFonts w:cstheme="minorHAnsi"/>
          <w:b/>
          <w:bCs/>
          <w:lang w:val="ro-RO"/>
        </w:rPr>
        <w:t>DE REALIZARE</w:t>
      </w:r>
      <w:r w:rsidR="00EB40DC" w:rsidRPr="00395F1D">
        <w:rPr>
          <w:rFonts w:cstheme="minorHAnsi"/>
          <w:b/>
          <w:bCs/>
          <w:lang w:val="ro-RO"/>
        </w:rPr>
        <w:t>, A INDICATORILOR DE REZULTAT</w:t>
      </w:r>
      <w:r w:rsidR="002B2308" w:rsidRPr="00395F1D">
        <w:rPr>
          <w:rFonts w:cstheme="minorHAnsi"/>
          <w:b/>
          <w:bCs/>
          <w:lang w:val="ro-RO"/>
        </w:rPr>
        <w:t xml:space="preserve"> </w:t>
      </w:r>
      <w:r w:rsidR="00714144" w:rsidRPr="00395F1D">
        <w:rPr>
          <w:rFonts w:cstheme="minorHAnsi"/>
          <w:b/>
          <w:bCs/>
          <w:lang w:val="ro-RO"/>
        </w:rPr>
        <w:t>ȘI</w:t>
      </w:r>
      <w:r w:rsidR="002B2308" w:rsidRPr="00395F1D">
        <w:rPr>
          <w:rFonts w:cstheme="minorHAnsi"/>
          <w:b/>
          <w:bCs/>
          <w:lang w:val="ro-RO"/>
        </w:rPr>
        <w:t xml:space="preserve"> A INDICATORILOR </w:t>
      </w:r>
      <w:r w:rsidR="00CA1D19" w:rsidRPr="00395F1D">
        <w:rPr>
          <w:rFonts w:cstheme="minorHAnsi"/>
          <w:b/>
          <w:bCs/>
          <w:lang w:val="ro-RO"/>
        </w:rPr>
        <w:t>SUPLIMENTARI SPECIFICI APELULUI DE PROIECTE</w:t>
      </w:r>
    </w:p>
    <w:p w14:paraId="5DB151F0" w14:textId="5DE6491E" w:rsidR="006F6C3B" w:rsidRPr="00395F1D" w:rsidRDefault="00E75FBC" w:rsidP="00EB40DC">
      <w:pPr>
        <w:pStyle w:val="ListParagraph"/>
        <w:numPr>
          <w:ilvl w:val="0"/>
          <w:numId w:val="1"/>
        </w:numPr>
        <w:spacing w:after="0" w:line="276" w:lineRule="auto"/>
        <w:ind w:left="720"/>
        <w:contextualSpacing w:val="0"/>
        <w:rPr>
          <w:rFonts w:cstheme="minorHAnsi"/>
          <w:b/>
          <w:bCs/>
          <w:lang w:val="ro-RO"/>
        </w:rPr>
      </w:pPr>
      <w:r w:rsidRPr="00395F1D">
        <w:rPr>
          <w:rFonts w:cstheme="minorHAnsi"/>
          <w:b/>
          <w:bCs/>
          <w:lang w:val="ro-RO"/>
        </w:rPr>
        <w:t>INDICATORI DE REALIZARE</w:t>
      </w:r>
    </w:p>
    <w:tbl>
      <w:tblPr>
        <w:tblStyle w:val="TableGrid"/>
        <w:tblW w:w="9067" w:type="dxa"/>
        <w:tblLook w:val="04A0" w:firstRow="1" w:lastRow="0" w:firstColumn="1" w:lastColumn="0" w:noHBand="0" w:noVBand="1"/>
      </w:tblPr>
      <w:tblGrid>
        <w:gridCol w:w="1980"/>
        <w:gridCol w:w="7087"/>
      </w:tblGrid>
      <w:tr w:rsidR="00826791" w:rsidRPr="00395F1D" w14:paraId="5C649551" w14:textId="77777777" w:rsidTr="00F4592E">
        <w:tc>
          <w:tcPr>
            <w:tcW w:w="9067" w:type="dxa"/>
            <w:gridSpan w:val="2"/>
            <w:shd w:val="clear" w:color="auto" w:fill="2F5496" w:themeFill="accent1" w:themeFillShade="BF"/>
          </w:tcPr>
          <w:p w14:paraId="4970FA82" w14:textId="78C1A7D4" w:rsidR="00826791" w:rsidRPr="00395F1D" w:rsidRDefault="00826791" w:rsidP="00EB40DC">
            <w:pPr>
              <w:spacing w:line="276" w:lineRule="auto"/>
              <w:rPr>
                <w:rFonts w:eastAsia="Times New Roman" w:cstheme="minorHAnsi"/>
                <w:b/>
                <w:bCs/>
                <w:color w:val="FFFFFF" w:themeColor="background1"/>
                <w:lang w:val="ro-RO"/>
              </w:rPr>
            </w:pPr>
            <w:r w:rsidRPr="00395F1D">
              <w:rPr>
                <w:rFonts w:eastAsia="Times New Roman" w:cstheme="minorHAnsi"/>
                <w:b/>
                <w:bCs/>
                <w:color w:val="FFFFFF" w:themeColor="background1"/>
                <w:lang w:val="ro-RO"/>
              </w:rPr>
              <w:t>RCO</w:t>
            </w:r>
            <w:r w:rsidR="00E02996" w:rsidRPr="00395F1D">
              <w:rPr>
                <w:rFonts w:eastAsia="Times New Roman" w:cstheme="minorHAnsi"/>
                <w:b/>
                <w:bCs/>
                <w:color w:val="FFFFFF" w:themeColor="background1"/>
                <w:lang w:val="ro-RO"/>
              </w:rPr>
              <w:t>18</w:t>
            </w:r>
          </w:p>
          <w:p w14:paraId="0E473262" w14:textId="2BCCF6E1" w:rsidR="00F0542D" w:rsidRPr="00395F1D" w:rsidRDefault="00E02996" w:rsidP="00EB40DC">
            <w:pPr>
              <w:spacing w:line="276" w:lineRule="auto"/>
              <w:rPr>
                <w:rFonts w:eastAsia="Times New Roman" w:cstheme="minorHAnsi"/>
                <w:color w:val="FFFFFF" w:themeColor="background1"/>
                <w:lang w:val="ro-RO"/>
              </w:rPr>
            </w:pPr>
            <w:r w:rsidRPr="00395F1D">
              <w:rPr>
                <w:rFonts w:eastAsia="Times New Roman" w:cstheme="minorHAnsi"/>
                <w:color w:val="FFFFFF" w:themeColor="background1"/>
                <w:lang w:val="ro-RO"/>
              </w:rPr>
              <w:t>Locuințe cu performanță energetică îmbunătățită</w:t>
            </w:r>
          </w:p>
        </w:tc>
      </w:tr>
      <w:tr w:rsidR="006D179E" w:rsidRPr="00395F1D" w14:paraId="502F1BC4" w14:textId="77777777" w:rsidTr="00F4592E">
        <w:tc>
          <w:tcPr>
            <w:tcW w:w="1980" w:type="dxa"/>
          </w:tcPr>
          <w:p w14:paraId="19C13BB7" w14:textId="7204CDBD" w:rsidR="00826791" w:rsidRPr="00395F1D" w:rsidRDefault="00826791" w:rsidP="00B210CB">
            <w:pPr>
              <w:spacing w:line="276" w:lineRule="auto"/>
              <w:rPr>
                <w:rFonts w:cstheme="minorHAnsi"/>
                <w:lang w:val="ro-RO"/>
              </w:rPr>
            </w:pPr>
            <w:r w:rsidRPr="00395F1D">
              <w:rPr>
                <w:rFonts w:cstheme="minorHAnsi"/>
                <w:lang w:val="ro-RO"/>
              </w:rPr>
              <w:t>Definiție/Descriere Indicator</w:t>
            </w:r>
          </w:p>
        </w:tc>
        <w:tc>
          <w:tcPr>
            <w:tcW w:w="7087" w:type="dxa"/>
            <w:vAlign w:val="center"/>
          </w:tcPr>
          <w:p w14:paraId="1582F621" w14:textId="3AB6F380" w:rsidR="00947E0F" w:rsidRPr="00395F1D" w:rsidRDefault="00947E0F" w:rsidP="00947E0F">
            <w:pPr>
              <w:spacing w:after="120" w:line="276" w:lineRule="auto"/>
              <w:jc w:val="both"/>
              <w:rPr>
                <w:rFonts w:eastAsia="Times New Roman" w:cstheme="minorHAnsi"/>
                <w:lang w:val="ro-RO"/>
              </w:rPr>
            </w:pPr>
            <w:r w:rsidRPr="00395F1D">
              <w:rPr>
                <w:rFonts w:eastAsia="Times New Roman" w:cstheme="minorHAnsi"/>
                <w:lang w:val="ro-RO"/>
              </w:rPr>
              <w:t>Numărul de locuințe cu performanță energetică îmbunătățită ca urmare a spr</w:t>
            </w:r>
            <w:r w:rsidR="0094168E" w:rsidRPr="00395F1D">
              <w:rPr>
                <w:rFonts w:eastAsia="Times New Roman" w:cstheme="minorHAnsi"/>
                <w:lang w:val="ro-RO"/>
              </w:rPr>
              <w:t>i</w:t>
            </w:r>
            <w:r w:rsidRPr="00395F1D">
              <w:rPr>
                <w:rFonts w:eastAsia="Times New Roman" w:cstheme="minorHAnsi"/>
                <w:lang w:val="ro-RO"/>
              </w:rPr>
              <w:t>jnului din proiect. Performanță energetică îmbunătățită înseamnă îmbunătățirea încadrarea locuinței într-o clasă de performanță energetică superioară, și trebuie documentată pe baza certificatelor de performanță energetică (CPE).</w:t>
            </w:r>
          </w:p>
          <w:p w14:paraId="2DD28E41" w14:textId="77777777" w:rsidR="00947E0F" w:rsidRPr="00395F1D" w:rsidRDefault="00947E0F" w:rsidP="00947E0F">
            <w:pPr>
              <w:spacing w:after="120" w:line="276" w:lineRule="auto"/>
              <w:jc w:val="both"/>
              <w:rPr>
                <w:rFonts w:eastAsia="Times New Roman" w:cstheme="minorHAnsi"/>
                <w:lang w:val="ro-RO"/>
              </w:rPr>
            </w:pPr>
            <w:r w:rsidRPr="00395F1D">
              <w:rPr>
                <w:rFonts w:eastAsia="Times New Roman" w:cstheme="minorHAnsi"/>
                <w:lang w:val="ro-RO"/>
              </w:rPr>
              <w:t>Clasele de performanță energetică sunt definite  pe baza CEP la nivel național, conform Directivei 2010/31/UE.</w:t>
            </w:r>
          </w:p>
          <w:p w14:paraId="2BD62D76" w14:textId="1540DD2A" w:rsidR="00947E0F" w:rsidRPr="00395F1D" w:rsidRDefault="00947E0F" w:rsidP="00947E0F">
            <w:pPr>
              <w:spacing w:after="120" w:line="276" w:lineRule="auto"/>
              <w:jc w:val="both"/>
              <w:rPr>
                <w:rFonts w:eastAsia="Times New Roman" w:cstheme="minorHAnsi"/>
                <w:lang w:val="ro-RO"/>
              </w:rPr>
            </w:pPr>
            <w:r w:rsidRPr="00395F1D">
              <w:rPr>
                <w:rFonts w:eastAsia="Times New Roman" w:cstheme="minorHAnsi"/>
                <w:lang w:val="ro-RO"/>
              </w:rPr>
              <w:t>Locuința este definită astfel: "o cameră sau un apartament într-o clădire permanentă, sau într-o parte de clădire separată structural (...) și care este destinată locuirii unei gospodării private pe parcursul anului."</w:t>
            </w:r>
            <w:r w:rsidR="0094168E" w:rsidRPr="00395F1D">
              <w:rPr>
                <w:rFonts w:eastAsia="Times New Roman" w:cstheme="minorHAnsi"/>
                <w:lang w:val="ro-RO"/>
              </w:rPr>
              <w:t xml:space="preserve"> </w:t>
            </w:r>
            <w:r w:rsidRPr="00395F1D">
              <w:rPr>
                <w:rFonts w:eastAsia="Times New Roman" w:cstheme="minorHAnsi"/>
                <w:lang w:val="ro-RO"/>
              </w:rPr>
              <w:t>(vezi ESTAT online în referințe).</w:t>
            </w:r>
            <w:r w:rsidR="0094168E" w:rsidRPr="00395F1D">
              <w:rPr>
                <w:rFonts w:eastAsia="Times New Roman" w:cstheme="minorHAnsi"/>
                <w:lang w:val="ro-RO"/>
              </w:rPr>
              <w:t xml:space="preserve"> </w:t>
            </w:r>
            <w:r w:rsidRPr="00395F1D">
              <w:rPr>
                <w:rFonts w:eastAsia="Times New Roman" w:cstheme="minorHAnsi"/>
                <w:lang w:val="ro-RO"/>
              </w:rPr>
              <w:t>Indicatorul acoperă și locuințele sociale pentru obiectivul specific RSO2.1, situație în care ar trebui utilizat și indicatorul comun pentru capacitatea locu</w:t>
            </w:r>
            <w:r w:rsidR="0094168E" w:rsidRPr="00395F1D">
              <w:rPr>
                <w:rFonts w:eastAsia="Times New Roman" w:cstheme="minorHAnsi"/>
                <w:lang w:val="ro-RO"/>
              </w:rPr>
              <w:t>i</w:t>
            </w:r>
            <w:r w:rsidRPr="00395F1D">
              <w:rPr>
                <w:rFonts w:eastAsia="Times New Roman" w:cstheme="minorHAnsi"/>
                <w:lang w:val="ro-RO"/>
              </w:rPr>
              <w:t>nțelor sociale sprijinite RCO65.</w:t>
            </w:r>
          </w:p>
          <w:p w14:paraId="74753996" w14:textId="4760F190" w:rsidR="00E3079D" w:rsidRPr="00395F1D" w:rsidRDefault="00964670" w:rsidP="00E3079D">
            <w:pPr>
              <w:spacing w:after="120" w:line="276" w:lineRule="auto"/>
              <w:jc w:val="both"/>
              <w:rPr>
                <w:rFonts w:eastAsia="Times New Roman" w:cstheme="minorHAnsi"/>
                <w:lang w:val="ro-RO"/>
              </w:rPr>
            </w:pPr>
            <w:r w:rsidRPr="00395F1D">
              <w:rPr>
                <w:rFonts w:eastAsia="Times New Roman" w:cstheme="minorHAnsi"/>
                <w:lang w:val="ro-RO"/>
              </w:rPr>
              <w:t>Pentru a evita folosirea a doi indicatori de performanță energetică, indicatorul RCO18 nu acoperă și locuințele incluse în indicatorul RCO123 pentru locuințe cu înlocuirea boiler-elor pe gaz.</w:t>
            </w:r>
          </w:p>
        </w:tc>
      </w:tr>
      <w:tr w:rsidR="00826791" w:rsidRPr="00395F1D" w14:paraId="3D37E093" w14:textId="77777777" w:rsidTr="00F4592E">
        <w:tc>
          <w:tcPr>
            <w:tcW w:w="1980" w:type="dxa"/>
          </w:tcPr>
          <w:p w14:paraId="3A490ABE" w14:textId="7A9FCD84" w:rsidR="00826791" w:rsidRPr="00395F1D" w:rsidRDefault="00826791" w:rsidP="00B210CB">
            <w:pPr>
              <w:spacing w:line="276" w:lineRule="auto"/>
              <w:rPr>
                <w:rFonts w:cstheme="minorHAnsi"/>
                <w:lang w:val="ro-RO"/>
              </w:rPr>
            </w:pPr>
            <w:r w:rsidRPr="00395F1D">
              <w:rPr>
                <w:rFonts w:cstheme="minorHAnsi"/>
                <w:lang w:val="ro-RO"/>
              </w:rPr>
              <w:t>Unitatea de măsură</w:t>
            </w:r>
          </w:p>
        </w:tc>
        <w:tc>
          <w:tcPr>
            <w:tcW w:w="7087" w:type="dxa"/>
            <w:vAlign w:val="center"/>
          </w:tcPr>
          <w:p w14:paraId="1F2DDB04" w14:textId="76E45661" w:rsidR="00826791" w:rsidRPr="00395F1D" w:rsidRDefault="006D179E" w:rsidP="00EB40DC">
            <w:pPr>
              <w:spacing w:line="276" w:lineRule="auto"/>
              <w:jc w:val="both"/>
              <w:rPr>
                <w:rFonts w:cstheme="minorHAnsi"/>
                <w:lang w:val="ro-RO"/>
              </w:rPr>
            </w:pPr>
            <w:r w:rsidRPr="00395F1D">
              <w:rPr>
                <w:rFonts w:cstheme="minorHAnsi"/>
                <w:lang w:val="ro-RO"/>
              </w:rPr>
              <w:t xml:space="preserve">nr. locuinte </w:t>
            </w:r>
          </w:p>
        </w:tc>
      </w:tr>
      <w:tr w:rsidR="00826791" w:rsidRPr="00395F1D" w14:paraId="536205A9" w14:textId="77777777" w:rsidTr="00F4592E">
        <w:tc>
          <w:tcPr>
            <w:tcW w:w="1980" w:type="dxa"/>
          </w:tcPr>
          <w:p w14:paraId="021D8C8B" w14:textId="1A99B543" w:rsidR="00D46401" w:rsidRPr="00395F1D" w:rsidRDefault="00826791" w:rsidP="00B210CB">
            <w:pPr>
              <w:spacing w:line="276" w:lineRule="auto"/>
              <w:rPr>
                <w:rFonts w:cstheme="minorHAnsi"/>
                <w:lang w:val="ro-RO"/>
              </w:rPr>
            </w:pPr>
            <w:r w:rsidRPr="00395F1D">
              <w:rPr>
                <w:rFonts w:cstheme="minorHAnsi"/>
                <w:lang w:val="ro-RO"/>
              </w:rPr>
              <w:t>Valoarea țintă</w:t>
            </w:r>
          </w:p>
        </w:tc>
        <w:tc>
          <w:tcPr>
            <w:tcW w:w="7087" w:type="dxa"/>
            <w:vAlign w:val="center"/>
          </w:tcPr>
          <w:p w14:paraId="3DFAA393" w14:textId="63FBA9E2" w:rsidR="005B5096" w:rsidRPr="00395F1D" w:rsidRDefault="00E02996" w:rsidP="00EB40DC">
            <w:pPr>
              <w:spacing w:line="276" w:lineRule="auto"/>
              <w:jc w:val="both"/>
              <w:rPr>
                <w:rFonts w:eastAsia="Times New Roman" w:cstheme="minorHAnsi"/>
                <w:highlight w:val="yellow"/>
                <w:lang w:val="ro-RO"/>
              </w:rPr>
            </w:pPr>
            <w:r w:rsidRPr="00395F1D">
              <w:rPr>
                <w:rFonts w:cstheme="minorHAnsi"/>
                <w:color w:val="000000"/>
                <w:lang w:val="ro-RO"/>
              </w:rPr>
              <w:t>1.175</w:t>
            </w:r>
          </w:p>
        </w:tc>
      </w:tr>
      <w:tr w:rsidR="00826791" w:rsidRPr="00395F1D" w14:paraId="4B347299" w14:textId="77777777" w:rsidTr="00F4592E">
        <w:trPr>
          <w:trHeight w:val="611"/>
        </w:trPr>
        <w:tc>
          <w:tcPr>
            <w:tcW w:w="1980" w:type="dxa"/>
          </w:tcPr>
          <w:p w14:paraId="727FF444" w14:textId="77777777" w:rsidR="00826791" w:rsidRPr="00395F1D" w:rsidRDefault="00826791" w:rsidP="00B210CB">
            <w:pPr>
              <w:spacing w:line="276" w:lineRule="auto"/>
              <w:rPr>
                <w:rFonts w:cstheme="minorHAnsi"/>
                <w:lang w:val="ro-RO"/>
              </w:rPr>
            </w:pPr>
            <w:r w:rsidRPr="00395F1D">
              <w:rPr>
                <w:rFonts w:cstheme="minorHAnsi"/>
                <w:lang w:val="ro-RO"/>
              </w:rPr>
              <w:t>Momentul îndeplinirii</w:t>
            </w:r>
          </w:p>
        </w:tc>
        <w:tc>
          <w:tcPr>
            <w:tcW w:w="7087" w:type="dxa"/>
            <w:vAlign w:val="center"/>
          </w:tcPr>
          <w:p w14:paraId="600B3AB1" w14:textId="77777777" w:rsidR="00826791" w:rsidRPr="00395F1D" w:rsidRDefault="00B7096B" w:rsidP="00EB40DC">
            <w:pPr>
              <w:spacing w:line="276" w:lineRule="auto"/>
              <w:jc w:val="both"/>
              <w:rPr>
                <w:rFonts w:eastAsia="Times New Roman" w:cstheme="minorHAnsi"/>
                <w:lang w:val="ro-RO"/>
              </w:rPr>
            </w:pPr>
            <w:r w:rsidRPr="00395F1D">
              <w:rPr>
                <w:rFonts w:eastAsia="Times New Roman" w:cstheme="minorHAnsi"/>
                <w:lang w:val="ro-RO"/>
              </w:rPr>
              <w:t>Finalizarea perioadei de implementare conform Acordului de finanțare semnat</w:t>
            </w:r>
          </w:p>
          <w:p w14:paraId="31CAC6AC" w14:textId="4964258D" w:rsidR="00BA2C1A" w:rsidRPr="00395F1D" w:rsidRDefault="00BA2C1A" w:rsidP="00EB40DC">
            <w:pPr>
              <w:spacing w:line="276" w:lineRule="auto"/>
              <w:jc w:val="both"/>
              <w:rPr>
                <w:rFonts w:eastAsia="Times New Roman" w:cstheme="minorHAnsi"/>
                <w:lang w:val="ro-RO"/>
              </w:rPr>
            </w:pPr>
            <w:r w:rsidRPr="00395F1D">
              <w:rPr>
                <w:rFonts w:eastAsia="Times New Roman" w:cstheme="minorHAnsi"/>
                <w:b/>
                <w:bCs/>
                <w:i/>
                <w:iCs/>
                <w:lang w:val="ro-RO"/>
              </w:rPr>
              <w:lastRenderedPageBreak/>
              <w:t>ATENȚIE!</w:t>
            </w:r>
            <w:r w:rsidRPr="00395F1D">
              <w:rPr>
                <w:rFonts w:eastAsia="Times New Roman" w:cstheme="minorHAnsi"/>
                <w:lang w:val="ro-RO"/>
              </w:rPr>
              <w:t xml:space="preserve"> </w:t>
            </w:r>
            <w:r w:rsidRPr="00395F1D">
              <w:rPr>
                <w:rFonts w:eastAsia="Times New Roman" w:cstheme="minorHAnsi"/>
                <w:i/>
                <w:iCs/>
                <w:lang w:val="ro-RO"/>
              </w:rPr>
              <w:t>Valoarea realizată coincide cu valoarea țintă din secțiunile referitoare la Indicatori din cererea de finanțare.</w:t>
            </w:r>
          </w:p>
        </w:tc>
      </w:tr>
      <w:tr w:rsidR="00826791" w:rsidRPr="00395F1D" w14:paraId="4B81F033" w14:textId="77777777" w:rsidTr="00F4592E">
        <w:tc>
          <w:tcPr>
            <w:tcW w:w="1980" w:type="dxa"/>
          </w:tcPr>
          <w:p w14:paraId="361D47AD" w14:textId="77777777" w:rsidR="00826791" w:rsidRPr="00395F1D" w:rsidRDefault="00826791" w:rsidP="00B210CB">
            <w:pPr>
              <w:spacing w:line="276" w:lineRule="auto"/>
              <w:rPr>
                <w:rFonts w:cstheme="minorHAnsi"/>
                <w:lang w:val="ro-RO"/>
              </w:rPr>
            </w:pPr>
            <w:r w:rsidRPr="00395F1D">
              <w:rPr>
                <w:rFonts w:cstheme="minorHAnsi"/>
                <w:lang w:val="ro-RO"/>
              </w:rPr>
              <w:lastRenderedPageBreak/>
              <w:t xml:space="preserve">Documente justificative privind îndeplinirea indicatorului </w:t>
            </w:r>
          </w:p>
        </w:tc>
        <w:tc>
          <w:tcPr>
            <w:tcW w:w="7087" w:type="dxa"/>
            <w:vAlign w:val="center"/>
          </w:tcPr>
          <w:p w14:paraId="20B71E98" w14:textId="77777777" w:rsidR="00E533F0" w:rsidRPr="00395F1D" w:rsidRDefault="00E533F0" w:rsidP="00EB40DC">
            <w:pPr>
              <w:spacing w:line="276" w:lineRule="auto"/>
              <w:jc w:val="both"/>
              <w:rPr>
                <w:rFonts w:eastAsia="Times New Roman" w:cstheme="minorHAnsi"/>
                <w:lang w:val="ro-RO"/>
              </w:rPr>
            </w:pPr>
            <w:r w:rsidRPr="00395F1D">
              <w:rPr>
                <w:rFonts w:eastAsia="Times New Roman" w:cstheme="minorHAnsi"/>
                <w:lang w:val="ro-RO"/>
              </w:rPr>
              <w:t>Raportul de progres final </w:t>
            </w:r>
          </w:p>
          <w:p w14:paraId="6AD32716" w14:textId="77777777" w:rsidR="00E3079D" w:rsidRPr="00395F1D" w:rsidRDefault="00E3079D" w:rsidP="0094168E">
            <w:pPr>
              <w:spacing w:line="276" w:lineRule="auto"/>
              <w:jc w:val="both"/>
              <w:rPr>
                <w:rFonts w:cstheme="minorHAnsi"/>
                <w:lang w:val="ro-RO"/>
              </w:rPr>
            </w:pPr>
          </w:p>
          <w:p w14:paraId="69008B5C" w14:textId="4DA26A41" w:rsidR="0094168E" w:rsidRPr="00395F1D" w:rsidRDefault="0094168E" w:rsidP="0094168E">
            <w:pPr>
              <w:spacing w:line="276" w:lineRule="auto"/>
              <w:jc w:val="both"/>
              <w:rPr>
                <w:rFonts w:cstheme="minorHAnsi"/>
                <w:lang w:val="ro-RO"/>
              </w:rPr>
            </w:pPr>
            <w:r w:rsidRPr="00395F1D">
              <w:rPr>
                <w:rFonts w:cstheme="minorHAnsi"/>
                <w:lang w:val="ro-RO"/>
              </w:rPr>
              <w:t>Pentru sprijin prin grant global sau instrumente financiare, Autoritatea de Management trebuie să stabilească împreună cu beneficiarul frecvența raportărilor în implementare, ținând cont de perioada necesară distribuirii sprijinului la nivel de beneficiar final, și perioada necesară finalizării output-ului și obținerii certificatului CPE în proiectele respective.</w:t>
            </w:r>
          </w:p>
          <w:p w14:paraId="54EF4939" w14:textId="77777777" w:rsidR="0094168E" w:rsidRPr="00395F1D" w:rsidRDefault="0094168E" w:rsidP="0094168E">
            <w:pPr>
              <w:spacing w:line="276" w:lineRule="auto"/>
              <w:jc w:val="both"/>
              <w:rPr>
                <w:rFonts w:cstheme="minorHAnsi"/>
                <w:lang w:val="ro-RO"/>
              </w:rPr>
            </w:pPr>
          </w:p>
          <w:p w14:paraId="7AD8F2C2" w14:textId="77777777" w:rsidR="0094168E" w:rsidRPr="00395F1D" w:rsidRDefault="0094168E" w:rsidP="0094168E">
            <w:pPr>
              <w:spacing w:line="276" w:lineRule="auto"/>
              <w:jc w:val="both"/>
              <w:rPr>
                <w:rFonts w:cstheme="minorHAnsi"/>
                <w:lang w:val="ro-RO"/>
              </w:rPr>
            </w:pPr>
            <w:r w:rsidRPr="00395F1D">
              <w:rPr>
                <w:rFonts w:cstheme="minorHAnsi"/>
                <w:lang w:val="ro-RO"/>
              </w:rPr>
              <w:t xml:space="preserve">Exemple de documente justificative includ documente care atestă finalizarea și recepția lucrărilor pentru locuințele sprijinite, precum și certificatele de performanță energetice aferente. Astfel de documente ar trebui să includă și lista locuințelor sprijinite împreuna cu numărul unic de identificare al certficatului de performantă energetică aferent. În raportul final de implementare, beneficiarul trebuie să detalieze măsura în care a fost realizată îmbunățirea peformanței energetice pentru locuințele sprijinite (exemplu: de la clasa E la clasa A).  </w:t>
            </w:r>
          </w:p>
          <w:p w14:paraId="6FE6019F" w14:textId="77777777" w:rsidR="0094168E" w:rsidRPr="00395F1D" w:rsidRDefault="0094168E" w:rsidP="0094168E">
            <w:pPr>
              <w:spacing w:line="276" w:lineRule="auto"/>
              <w:jc w:val="both"/>
              <w:rPr>
                <w:rFonts w:cstheme="minorHAnsi"/>
                <w:lang w:val="ro-RO"/>
              </w:rPr>
            </w:pPr>
          </w:p>
          <w:p w14:paraId="1C538780" w14:textId="65D9286C" w:rsidR="0094168E" w:rsidRPr="00395F1D" w:rsidRDefault="0094168E" w:rsidP="0094168E">
            <w:pPr>
              <w:spacing w:line="276" w:lineRule="auto"/>
              <w:jc w:val="both"/>
              <w:rPr>
                <w:rFonts w:cstheme="minorHAnsi"/>
                <w:color w:val="FF0000"/>
                <w:lang w:val="ro-RO"/>
              </w:rPr>
            </w:pPr>
            <w:r w:rsidRPr="00395F1D">
              <w:rPr>
                <w:rFonts w:cstheme="minorHAnsi"/>
                <w:lang w:val="ro-RO"/>
              </w:rPr>
              <w:t>În plus, la momentul cererii de finanțare, beneficiarul ar trebui să furnizeze Autorității de Management și metodologia utilizată pentru stabilirea țintei proiectului.</w:t>
            </w:r>
          </w:p>
        </w:tc>
      </w:tr>
    </w:tbl>
    <w:p w14:paraId="1063F265" w14:textId="77777777" w:rsidR="006F6C3B" w:rsidRPr="00395F1D" w:rsidRDefault="006F6C3B" w:rsidP="00EB40DC">
      <w:pPr>
        <w:spacing w:after="0" w:line="276" w:lineRule="auto"/>
        <w:rPr>
          <w:rFonts w:cstheme="minorHAnsi"/>
          <w:b/>
          <w:bCs/>
          <w:color w:val="2F5496" w:themeColor="accent1" w:themeShade="BF"/>
          <w:lang w:val="ro-RO"/>
        </w:rPr>
      </w:pPr>
    </w:p>
    <w:p w14:paraId="655C10D6" w14:textId="77777777" w:rsidR="00EB40DC" w:rsidRPr="00395F1D" w:rsidRDefault="00EB40DC" w:rsidP="00EB40DC">
      <w:pPr>
        <w:spacing w:after="0" w:line="276" w:lineRule="auto"/>
        <w:rPr>
          <w:rFonts w:cstheme="minorHAnsi"/>
          <w:b/>
          <w:bCs/>
          <w:color w:val="2F5496" w:themeColor="accent1" w:themeShade="BF"/>
          <w:lang w:val="ro-RO"/>
        </w:rPr>
      </w:pPr>
    </w:p>
    <w:p w14:paraId="2EFCA044" w14:textId="2D6D5053" w:rsidR="00FB53D8" w:rsidRPr="00395F1D" w:rsidRDefault="00FB53D8" w:rsidP="006F6C3B">
      <w:pPr>
        <w:pStyle w:val="ListParagraph"/>
        <w:numPr>
          <w:ilvl w:val="0"/>
          <w:numId w:val="1"/>
        </w:numPr>
        <w:spacing w:after="0" w:line="276" w:lineRule="auto"/>
        <w:ind w:left="720"/>
        <w:contextualSpacing w:val="0"/>
        <w:rPr>
          <w:rFonts w:cstheme="minorHAnsi"/>
          <w:b/>
          <w:bCs/>
          <w:lang w:val="ro-RO"/>
        </w:rPr>
      </w:pPr>
      <w:r w:rsidRPr="00395F1D">
        <w:rPr>
          <w:rFonts w:cstheme="minorHAnsi"/>
          <w:b/>
          <w:bCs/>
          <w:lang w:val="ro-RO"/>
        </w:rPr>
        <w:t>INDICATORI DE REZULTAT</w:t>
      </w:r>
    </w:p>
    <w:p w14:paraId="366A0491" w14:textId="77777777" w:rsidR="006F6C3B" w:rsidRPr="00395F1D" w:rsidRDefault="006F6C3B" w:rsidP="00EB40DC">
      <w:pPr>
        <w:spacing w:after="0" w:line="276" w:lineRule="auto"/>
        <w:rPr>
          <w:rFonts w:cstheme="minorHAnsi"/>
          <w:b/>
          <w:bCs/>
          <w:lang w:val="ro-RO"/>
        </w:rPr>
      </w:pPr>
    </w:p>
    <w:tbl>
      <w:tblPr>
        <w:tblStyle w:val="TableGrid"/>
        <w:tblW w:w="0" w:type="auto"/>
        <w:jc w:val="center"/>
        <w:tblLook w:val="04A0" w:firstRow="1" w:lastRow="0" w:firstColumn="1" w:lastColumn="0" w:noHBand="0" w:noVBand="1"/>
      </w:tblPr>
      <w:tblGrid>
        <w:gridCol w:w="1904"/>
        <w:gridCol w:w="7112"/>
      </w:tblGrid>
      <w:tr w:rsidR="00FB53D8" w:rsidRPr="00395F1D" w14:paraId="2B4E9328" w14:textId="77777777" w:rsidTr="00F4592E">
        <w:trPr>
          <w:trHeight w:val="782"/>
          <w:jc w:val="center"/>
        </w:trPr>
        <w:tc>
          <w:tcPr>
            <w:tcW w:w="9016" w:type="dxa"/>
            <w:gridSpan w:val="2"/>
            <w:shd w:val="clear" w:color="auto" w:fill="2F5496" w:themeFill="accent1" w:themeFillShade="BF"/>
          </w:tcPr>
          <w:p w14:paraId="40316BAB" w14:textId="77777777" w:rsidR="00D8178F" w:rsidRPr="00395F1D" w:rsidRDefault="00D8178F" w:rsidP="00D8178F">
            <w:pPr>
              <w:spacing w:line="276" w:lineRule="auto"/>
              <w:rPr>
                <w:rFonts w:cstheme="minorHAnsi"/>
                <w:b/>
                <w:color w:val="FFFFFF" w:themeColor="background1"/>
                <w:lang w:val="ro-RO"/>
              </w:rPr>
            </w:pPr>
            <w:r w:rsidRPr="00395F1D">
              <w:rPr>
                <w:rFonts w:cstheme="minorHAnsi"/>
                <w:b/>
                <w:color w:val="FFFFFF" w:themeColor="background1"/>
                <w:lang w:val="ro-RO"/>
              </w:rPr>
              <w:t xml:space="preserve">RCR26 </w:t>
            </w:r>
          </w:p>
          <w:p w14:paraId="1AD2FD5D" w14:textId="42FC5091" w:rsidR="00FB53D8" w:rsidRPr="00395F1D" w:rsidRDefault="00D8178F" w:rsidP="00D8178F">
            <w:pPr>
              <w:spacing w:line="276" w:lineRule="auto"/>
              <w:rPr>
                <w:rFonts w:cstheme="minorHAnsi"/>
                <w:bCs/>
                <w:i/>
                <w:iCs/>
                <w:lang w:val="ro-RO"/>
              </w:rPr>
            </w:pPr>
            <w:r w:rsidRPr="00395F1D">
              <w:rPr>
                <w:rFonts w:cstheme="minorHAnsi"/>
                <w:bCs/>
                <w:i/>
                <w:iCs/>
                <w:color w:val="FFFFFF" w:themeColor="background1"/>
                <w:lang w:val="ro-RO"/>
              </w:rPr>
              <w:t>Energie: Consum anual de energie primară</w:t>
            </w:r>
          </w:p>
        </w:tc>
      </w:tr>
      <w:tr w:rsidR="00FB53D8" w:rsidRPr="00395F1D" w14:paraId="0316DAA4" w14:textId="77777777" w:rsidTr="00F4592E">
        <w:trPr>
          <w:jc w:val="center"/>
        </w:trPr>
        <w:tc>
          <w:tcPr>
            <w:tcW w:w="1904" w:type="dxa"/>
          </w:tcPr>
          <w:p w14:paraId="00702C1E" w14:textId="77777777" w:rsidR="00FB53D8" w:rsidRPr="00395F1D" w:rsidRDefault="00FB53D8" w:rsidP="00B210CB">
            <w:pPr>
              <w:rPr>
                <w:rFonts w:cstheme="minorHAnsi"/>
                <w:lang w:val="ro-RO"/>
              </w:rPr>
            </w:pPr>
            <w:r w:rsidRPr="00395F1D">
              <w:rPr>
                <w:rFonts w:cstheme="minorHAnsi"/>
                <w:lang w:val="ro-RO"/>
              </w:rPr>
              <w:t>Definiție/Descriere Indicator</w:t>
            </w:r>
          </w:p>
        </w:tc>
        <w:tc>
          <w:tcPr>
            <w:tcW w:w="7112" w:type="dxa"/>
            <w:vAlign w:val="center"/>
          </w:tcPr>
          <w:p w14:paraId="699137CE" w14:textId="79F23270" w:rsidR="00FB53D8" w:rsidRPr="00395F1D" w:rsidRDefault="00395F1D" w:rsidP="00E02996">
            <w:pPr>
              <w:spacing w:line="276" w:lineRule="auto"/>
              <w:jc w:val="both"/>
              <w:rPr>
                <w:rFonts w:cstheme="minorHAnsi"/>
                <w:color w:val="000000"/>
                <w:lang w:val="ro-RO"/>
              </w:rPr>
            </w:pPr>
            <w:r w:rsidRPr="00395F1D">
              <w:rPr>
                <w:rFonts w:eastAsia="Times New Roman" w:cstheme="minorHAnsi"/>
                <w:lang w:val="ro-RO"/>
              </w:rPr>
              <w:t xml:space="preserve">Consumul total anual de energie primara pentru entitatile sprijinite. </w:t>
            </w:r>
            <w:r w:rsidR="00D8178F" w:rsidRPr="00395F1D">
              <w:rPr>
                <w:rFonts w:eastAsia="Times New Roman" w:cstheme="minorHAnsi"/>
                <w:lang w:val="ro-RO"/>
              </w:rPr>
              <w:t>Valoarea de bază se referă la consumul anual de energie primară înaintea intervenției, și valoarea realizată se referă la consumul anual de energie primară</w:t>
            </w:r>
            <w:r w:rsidR="00885EF6" w:rsidRPr="00395F1D">
              <w:rPr>
                <w:rFonts w:eastAsia="Times New Roman" w:cstheme="minorHAnsi"/>
                <w:lang w:val="ro-RO"/>
              </w:rPr>
              <w:t xml:space="preserve"> după finalizarea perioadei de implementare conform Acordului de finanțare semnat.</w:t>
            </w:r>
            <w:r w:rsidR="00D8178F" w:rsidRPr="00395F1D">
              <w:rPr>
                <w:rFonts w:eastAsia="Times New Roman" w:cstheme="minorHAnsi"/>
                <w:lang w:val="ro-RO"/>
              </w:rPr>
              <w:t xml:space="preserve"> </w:t>
            </w:r>
          </w:p>
        </w:tc>
      </w:tr>
      <w:tr w:rsidR="00E3079D" w:rsidRPr="00395F1D" w14:paraId="466F8A30" w14:textId="77777777" w:rsidTr="00F4592E">
        <w:trPr>
          <w:jc w:val="center"/>
        </w:trPr>
        <w:tc>
          <w:tcPr>
            <w:tcW w:w="1904" w:type="dxa"/>
          </w:tcPr>
          <w:p w14:paraId="1ECE8246" w14:textId="77777777" w:rsidR="00FB53D8" w:rsidRPr="00395F1D" w:rsidRDefault="00FB53D8" w:rsidP="00B210CB">
            <w:pPr>
              <w:rPr>
                <w:rFonts w:cstheme="minorHAnsi"/>
                <w:lang w:val="ro-RO"/>
              </w:rPr>
            </w:pPr>
            <w:r w:rsidRPr="00395F1D">
              <w:rPr>
                <w:rFonts w:cstheme="minorHAnsi"/>
                <w:lang w:val="ro-RO"/>
              </w:rPr>
              <w:t>Unitatea de măsură</w:t>
            </w:r>
            <w:r w:rsidRPr="00395F1D">
              <w:rPr>
                <w:rFonts w:cstheme="minorHAnsi"/>
                <w:lang w:val="ro-RO"/>
              </w:rPr>
              <w:tab/>
            </w:r>
          </w:p>
        </w:tc>
        <w:tc>
          <w:tcPr>
            <w:tcW w:w="7112" w:type="dxa"/>
            <w:vAlign w:val="center"/>
          </w:tcPr>
          <w:p w14:paraId="0897E66D" w14:textId="69B1BE66" w:rsidR="00FB53D8" w:rsidRPr="00395F1D" w:rsidRDefault="00D8178F" w:rsidP="00EB40DC">
            <w:pPr>
              <w:jc w:val="both"/>
              <w:rPr>
                <w:rFonts w:cstheme="minorHAnsi"/>
                <w:lang w:val="ro-RO"/>
              </w:rPr>
            </w:pPr>
            <w:r w:rsidRPr="00395F1D">
              <w:rPr>
                <w:rFonts w:cstheme="minorHAnsi"/>
                <w:lang w:val="ro-RO"/>
              </w:rPr>
              <w:t>MWh/ an</w:t>
            </w:r>
          </w:p>
        </w:tc>
      </w:tr>
      <w:tr w:rsidR="00E3079D" w:rsidRPr="00395F1D" w14:paraId="470696BE" w14:textId="77777777" w:rsidTr="00F4592E">
        <w:trPr>
          <w:jc w:val="center"/>
        </w:trPr>
        <w:tc>
          <w:tcPr>
            <w:tcW w:w="1904" w:type="dxa"/>
          </w:tcPr>
          <w:p w14:paraId="40151BD2" w14:textId="491A4B95" w:rsidR="00FB53D8" w:rsidRPr="00395F1D" w:rsidRDefault="00FB53D8" w:rsidP="00B210CB">
            <w:pPr>
              <w:rPr>
                <w:rFonts w:cstheme="minorHAnsi"/>
                <w:lang w:val="ro-RO"/>
              </w:rPr>
            </w:pPr>
            <w:r w:rsidRPr="00395F1D">
              <w:rPr>
                <w:rFonts w:cstheme="minorHAnsi"/>
                <w:lang w:val="ro-RO"/>
              </w:rPr>
              <w:t xml:space="preserve">Valoarea de </w:t>
            </w:r>
            <w:r w:rsidR="001838F7" w:rsidRPr="00395F1D">
              <w:rPr>
                <w:rFonts w:cstheme="minorHAnsi"/>
                <w:lang w:val="ro-RO"/>
              </w:rPr>
              <w:t>bază</w:t>
            </w:r>
          </w:p>
        </w:tc>
        <w:tc>
          <w:tcPr>
            <w:tcW w:w="7112" w:type="dxa"/>
            <w:vAlign w:val="center"/>
          </w:tcPr>
          <w:p w14:paraId="15C52419" w14:textId="6AB84296" w:rsidR="00FB53D8" w:rsidRPr="00395F1D" w:rsidRDefault="001E59D3" w:rsidP="00EB40DC">
            <w:pPr>
              <w:jc w:val="both"/>
              <w:rPr>
                <w:rFonts w:cstheme="minorHAnsi"/>
                <w:lang w:val="ro-RO"/>
              </w:rPr>
            </w:pPr>
            <w:r w:rsidRPr="00395F1D">
              <w:rPr>
                <w:rFonts w:cstheme="minorHAnsi"/>
                <w:lang w:val="ro-RO"/>
              </w:rPr>
              <w:t>22.048,00</w:t>
            </w:r>
            <w:r w:rsidR="00D45F54" w:rsidRPr="00395F1D">
              <w:rPr>
                <w:rFonts w:cstheme="minorHAnsi"/>
                <w:lang w:val="ro-RO"/>
              </w:rPr>
              <w:t xml:space="preserve"> </w:t>
            </w:r>
          </w:p>
        </w:tc>
      </w:tr>
      <w:tr w:rsidR="00E3079D" w:rsidRPr="00395F1D" w14:paraId="43B1FF2F" w14:textId="77777777" w:rsidTr="00F4592E">
        <w:trPr>
          <w:jc w:val="center"/>
        </w:trPr>
        <w:tc>
          <w:tcPr>
            <w:tcW w:w="1904" w:type="dxa"/>
          </w:tcPr>
          <w:p w14:paraId="62D1D1AF" w14:textId="77777777" w:rsidR="00FB53D8" w:rsidRPr="00395F1D" w:rsidRDefault="00FB53D8" w:rsidP="00B210CB">
            <w:pPr>
              <w:rPr>
                <w:rFonts w:cstheme="minorHAnsi"/>
                <w:lang w:val="ro-RO"/>
              </w:rPr>
            </w:pPr>
            <w:r w:rsidRPr="00395F1D">
              <w:rPr>
                <w:rFonts w:cstheme="minorHAnsi"/>
                <w:lang w:val="ro-RO"/>
              </w:rPr>
              <w:t>Valoarea țintă</w:t>
            </w:r>
          </w:p>
        </w:tc>
        <w:tc>
          <w:tcPr>
            <w:tcW w:w="7112" w:type="dxa"/>
            <w:vAlign w:val="center"/>
          </w:tcPr>
          <w:p w14:paraId="55E16A25" w14:textId="4BB50C09" w:rsidR="00FB53D8" w:rsidRPr="00395F1D" w:rsidRDefault="001E59D3" w:rsidP="00EB40DC">
            <w:pPr>
              <w:jc w:val="both"/>
              <w:rPr>
                <w:rFonts w:cstheme="minorHAnsi"/>
                <w:lang w:val="ro-RO"/>
              </w:rPr>
            </w:pPr>
            <w:r w:rsidRPr="00395F1D">
              <w:rPr>
                <w:rFonts w:cstheme="minorHAnsi"/>
                <w:lang w:val="ro-RO"/>
              </w:rPr>
              <w:t>11.024,00</w:t>
            </w:r>
          </w:p>
        </w:tc>
      </w:tr>
      <w:tr w:rsidR="00FB53D8" w:rsidRPr="00395F1D" w14:paraId="3B608F8D" w14:textId="77777777" w:rsidTr="00F4592E">
        <w:trPr>
          <w:jc w:val="center"/>
        </w:trPr>
        <w:tc>
          <w:tcPr>
            <w:tcW w:w="1904" w:type="dxa"/>
          </w:tcPr>
          <w:p w14:paraId="1E977D93" w14:textId="77777777" w:rsidR="00FB53D8" w:rsidRPr="00395F1D" w:rsidRDefault="00FB53D8" w:rsidP="00B210CB">
            <w:pPr>
              <w:rPr>
                <w:rFonts w:cstheme="minorHAnsi"/>
                <w:lang w:val="ro-RO"/>
              </w:rPr>
            </w:pPr>
            <w:r w:rsidRPr="00395F1D">
              <w:rPr>
                <w:rFonts w:cstheme="minorHAnsi"/>
                <w:lang w:val="ro-RO"/>
              </w:rPr>
              <w:t>Momentul îndeplinirii</w:t>
            </w:r>
          </w:p>
        </w:tc>
        <w:tc>
          <w:tcPr>
            <w:tcW w:w="7112" w:type="dxa"/>
            <w:vAlign w:val="center"/>
          </w:tcPr>
          <w:p w14:paraId="614551D0" w14:textId="1C0205F4" w:rsidR="00FB53D8" w:rsidRPr="00395F1D" w:rsidRDefault="00B7096B" w:rsidP="00EB40DC">
            <w:pPr>
              <w:jc w:val="both"/>
              <w:rPr>
                <w:rFonts w:cstheme="minorHAnsi"/>
                <w:color w:val="000000"/>
                <w:lang w:val="ro-RO"/>
              </w:rPr>
            </w:pPr>
            <w:r w:rsidRPr="00395F1D">
              <w:rPr>
                <w:rFonts w:cstheme="minorHAnsi"/>
                <w:color w:val="000000"/>
                <w:lang w:val="ro-RO"/>
              </w:rPr>
              <w:t>Finalizarea perioadei de implementare conform Acordului de finanțare semnat</w:t>
            </w:r>
          </w:p>
        </w:tc>
      </w:tr>
      <w:tr w:rsidR="00FB53D8" w:rsidRPr="00395F1D" w14:paraId="6060650A" w14:textId="77777777" w:rsidTr="00F4592E">
        <w:trPr>
          <w:jc w:val="center"/>
        </w:trPr>
        <w:tc>
          <w:tcPr>
            <w:tcW w:w="1904" w:type="dxa"/>
          </w:tcPr>
          <w:p w14:paraId="026FD8C9" w14:textId="77777777" w:rsidR="00FB53D8" w:rsidRPr="00395F1D" w:rsidRDefault="00FB53D8" w:rsidP="00B210CB">
            <w:pPr>
              <w:rPr>
                <w:rFonts w:cstheme="minorHAnsi"/>
                <w:lang w:val="ro-RO"/>
              </w:rPr>
            </w:pPr>
            <w:r w:rsidRPr="00395F1D">
              <w:rPr>
                <w:rFonts w:cstheme="minorHAnsi"/>
                <w:lang w:val="ro-RO"/>
              </w:rPr>
              <w:t xml:space="preserve">Documente justificative privind îndeplinirea indicatorului </w:t>
            </w:r>
          </w:p>
        </w:tc>
        <w:tc>
          <w:tcPr>
            <w:tcW w:w="7112" w:type="dxa"/>
            <w:vAlign w:val="center"/>
          </w:tcPr>
          <w:p w14:paraId="520D8973" w14:textId="77777777" w:rsidR="00902890" w:rsidRPr="00395F1D" w:rsidRDefault="00902890" w:rsidP="00EB40DC">
            <w:pPr>
              <w:spacing w:after="120"/>
              <w:jc w:val="both"/>
              <w:rPr>
                <w:rFonts w:cstheme="minorHAnsi"/>
                <w:lang w:val="ro-RO"/>
              </w:rPr>
            </w:pPr>
            <w:r w:rsidRPr="00395F1D">
              <w:rPr>
                <w:rFonts w:cstheme="minorHAnsi"/>
                <w:lang w:val="ro-RO"/>
              </w:rPr>
              <w:t xml:space="preserve">Raport de progres final </w:t>
            </w:r>
          </w:p>
          <w:p w14:paraId="6B0FE40A" w14:textId="6DB19E29" w:rsidR="00F315C0" w:rsidRPr="00395F1D" w:rsidRDefault="00D45F54" w:rsidP="00EB40DC">
            <w:pPr>
              <w:spacing w:after="120"/>
              <w:jc w:val="both"/>
              <w:rPr>
                <w:rFonts w:cstheme="minorHAnsi"/>
                <w:lang w:val="ro-RO"/>
              </w:rPr>
            </w:pPr>
            <w:r w:rsidRPr="00395F1D">
              <w:rPr>
                <w:rFonts w:cstheme="minorHAnsi"/>
                <w:lang w:val="ro-RO"/>
              </w:rPr>
              <w:t xml:space="preserve">Valoarea realizată </w:t>
            </w:r>
            <w:r w:rsidR="00F315C0" w:rsidRPr="00395F1D">
              <w:rPr>
                <w:rFonts w:cstheme="minorHAnsi"/>
                <w:lang w:val="ro-RO"/>
              </w:rPr>
              <w:t xml:space="preserve">reprezintă </w:t>
            </w:r>
            <w:r w:rsidRPr="00395F1D">
              <w:rPr>
                <w:rFonts w:cstheme="minorHAnsi"/>
                <w:lang w:val="ro-RO"/>
              </w:rPr>
              <w:t>consumul anual de energie primară realizat (conform definiției, și dezagregat pe tipuri de consumatori) și se măsoară pentru anul începând cu finalizarea output-ului și obținerea CPE, sau realizarea audit-ului energetic, sau obținerea altor documente tehnice relevante</w:t>
            </w:r>
            <w:r w:rsidR="001C08B4" w:rsidRPr="00395F1D">
              <w:rPr>
                <w:rFonts w:cstheme="minorHAnsi"/>
                <w:lang w:val="ro-RO"/>
              </w:rPr>
              <w:t>.</w:t>
            </w:r>
          </w:p>
          <w:p w14:paraId="28284233" w14:textId="077FC621" w:rsidR="00CA40D0" w:rsidRPr="00395F1D" w:rsidRDefault="00F315C0" w:rsidP="00EB40DC">
            <w:pPr>
              <w:spacing w:after="120"/>
              <w:jc w:val="both"/>
              <w:rPr>
                <w:rFonts w:cstheme="minorHAnsi"/>
                <w:lang w:val="ro-RO"/>
              </w:rPr>
            </w:pPr>
            <w:r w:rsidRPr="00395F1D">
              <w:rPr>
                <w:rFonts w:cstheme="minorHAnsi"/>
                <w:lang w:val="ro-RO"/>
              </w:rPr>
              <w:lastRenderedPageBreak/>
              <w:t>Exemple de documente justificative includ documente care atestă finalizarea și recepția lucrărilor pentru clădirile publice</w:t>
            </w:r>
            <w:r w:rsidR="00F17FDB" w:rsidRPr="00395F1D">
              <w:rPr>
                <w:rFonts w:cstheme="minorHAnsi"/>
                <w:lang w:val="ro-RO"/>
              </w:rPr>
              <w:t xml:space="preserve"> și </w:t>
            </w:r>
            <w:r w:rsidRPr="00395F1D">
              <w:rPr>
                <w:rFonts w:cstheme="minorHAnsi"/>
                <w:lang w:val="ro-RO"/>
              </w:rPr>
              <w:t>întreprinderilor sprijinite, precum și certificatele de performanță energetice, documentele audit-urilor energetice, sau alte specificații tehnice relevante.</w:t>
            </w:r>
            <w:r w:rsidR="00F17FDB" w:rsidRPr="00395F1D">
              <w:rPr>
                <w:rFonts w:cstheme="minorHAnsi"/>
                <w:lang w:val="ro-RO"/>
              </w:rPr>
              <w:t xml:space="preserve"> În raportul final de implementare/ sustenabilitate, beneficiarul trebuie să furnizeze Autorității de Management metodologia utilizată pentru calcularea valorilor realizate raportate.</w:t>
            </w:r>
          </w:p>
          <w:p w14:paraId="4BE08B2F" w14:textId="37680696" w:rsidR="00F17FDB" w:rsidRPr="00395F1D" w:rsidRDefault="00F17FDB" w:rsidP="00EB40DC">
            <w:pPr>
              <w:spacing w:after="120"/>
              <w:jc w:val="both"/>
              <w:rPr>
                <w:rFonts w:cstheme="minorHAnsi"/>
                <w:lang w:val="ro-RO"/>
              </w:rPr>
            </w:pPr>
            <w:r w:rsidRPr="00395F1D">
              <w:rPr>
                <w:rFonts w:cstheme="minorHAnsi"/>
                <w:lang w:val="ro-RO"/>
              </w:rPr>
              <w:t>Beneficiarul trebuie să furnizeze Autorității de Management și metodologiile utilizate pentru calcularea valorii de bază și a țintei pentru proiectul sprijinit.</w:t>
            </w:r>
          </w:p>
          <w:p w14:paraId="2043B416" w14:textId="7AD29BF2" w:rsidR="00F17FDB" w:rsidRPr="00395F1D" w:rsidRDefault="00CA40D0" w:rsidP="00F17FDB">
            <w:pPr>
              <w:spacing w:after="120"/>
              <w:jc w:val="both"/>
              <w:rPr>
                <w:rFonts w:cstheme="minorHAnsi"/>
                <w:lang w:val="ro-RO"/>
              </w:rPr>
            </w:pPr>
            <w:r w:rsidRPr="00395F1D">
              <w:rPr>
                <w:rFonts w:cstheme="minorHAnsi"/>
                <w:b/>
                <w:bCs/>
                <w:i/>
                <w:iCs/>
                <w:lang w:val="ro-RO"/>
              </w:rPr>
              <w:t xml:space="preserve">ATENȚIE! </w:t>
            </w:r>
            <w:r w:rsidRPr="00395F1D">
              <w:rPr>
                <w:rFonts w:cstheme="minorHAnsi"/>
                <w:i/>
                <w:iCs/>
                <w:lang w:val="ro-RO"/>
              </w:rPr>
              <w:t>Valoarea realizată coincide cu valoarea țintă din secțiunile referitoare la Indicatori din cererea de finanțare.</w:t>
            </w:r>
          </w:p>
        </w:tc>
      </w:tr>
      <w:tr w:rsidR="00FB53D8" w:rsidRPr="00395F1D" w14:paraId="3BBACB36" w14:textId="77777777" w:rsidTr="00F4592E">
        <w:trPr>
          <w:jc w:val="center"/>
        </w:trPr>
        <w:tc>
          <w:tcPr>
            <w:tcW w:w="9016" w:type="dxa"/>
            <w:gridSpan w:val="2"/>
            <w:shd w:val="clear" w:color="auto" w:fill="2F5496" w:themeFill="accent1" w:themeFillShade="BF"/>
          </w:tcPr>
          <w:p w14:paraId="072CA609" w14:textId="6B2B6235" w:rsidR="00FB53D8" w:rsidRPr="00395F1D" w:rsidRDefault="00FB53D8" w:rsidP="00EB40DC">
            <w:pPr>
              <w:shd w:val="clear" w:color="auto" w:fill="2F5496" w:themeFill="accent1" w:themeFillShade="BF"/>
              <w:spacing w:line="276" w:lineRule="auto"/>
              <w:rPr>
                <w:rFonts w:cstheme="minorHAnsi"/>
                <w:b/>
                <w:color w:val="FFFFFF" w:themeColor="background1"/>
                <w:lang w:val="ro-RO"/>
              </w:rPr>
            </w:pPr>
            <w:r w:rsidRPr="00395F1D">
              <w:rPr>
                <w:rFonts w:cstheme="minorHAnsi"/>
                <w:b/>
                <w:color w:val="FFFFFF" w:themeColor="background1"/>
                <w:lang w:val="ro-RO"/>
              </w:rPr>
              <w:lastRenderedPageBreak/>
              <w:t>RCR</w:t>
            </w:r>
            <w:r w:rsidR="00D45F54" w:rsidRPr="00395F1D">
              <w:rPr>
                <w:rFonts w:cstheme="minorHAnsi"/>
                <w:b/>
                <w:color w:val="FFFFFF" w:themeColor="background1"/>
                <w:lang w:val="ro-RO"/>
              </w:rPr>
              <w:t>29</w:t>
            </w:r>
          </w:p>
          <w:p w14:paraId="767D3081" w14:textId="5E05725F" w:rsidR="00FB53D8" w:rsidRPr="00395F1D" w:rsidRDefault="00CA40D0" w:rsidP="00EB40DC">
            <w:pPr>
              <w:shd w:val="clear" w:color="auto" w:fill="2F5496" w:themeFill="accent1" w:themeFillShade="BF"/>
              <w:spacing w:line="276" w:lineRule="auto"/>
              <w:rPr>
                <w:rFonts w:cstheme="minorHAnsi"/>
                <w:bCs/>
                <w:i/>
                <w:iCs/>
                <w:color w:val="FFFFFF" w:themeColor="background1"/>
                <w:lang w:val="ro-RO"/>
              </w:rPr>
            </w:pPr>
            <w:r w:rsidRPr="00395F1D">
              <w:rPr>
                <w:rFonts w:cstheme="minorHAnsi"/>
                <w:bCs/>
                <w:i/>
                <w:iCs/>
                <w:color w:val="FFFFFF" w:themeColor="background1"/>
                <w:lang w:val="ro-RO"/>
              </w:rPr>
              <w:t>Emisii de gaze cu efect de seră estimate</w:t>
            </w:r>
          </w:p>
        </w:tc>
      </w:tr>
      <w:tr w:rsidR="00FB53D8" w:rsidRPr="00395F1D" w14:paraId="640EE68D" w14:textId="77777777" w:rsidTr="00F4592E">
        <w:trPr>
          <w:jc w:val="center"/>
        </w:trPr>
        <w:tc>
          <w:tcPr>
            <w:tcW w:w="1904" w:type="dxa"/>
          </w:tcPr>
          <w:p w14:paraId="0812A452" w14:textId="77777777" w:rsidR="00FB53D8" w:rsidRPr="00395F1D" w:rsidRDefault="00FB53D8" w:rsidP="00B210CB">
            <w:pPr>
              <w:rPr>
                <w:rFonts w:cstheme="minorHAnsi"/>
                <w:lang w:val="ro-RO"/>
              </w:rPr>
            </w:pPr>
            <w:r w:rsidRPr="00395F1D">
              <w:rPr>
                <w:rFonts w:cstheme="minorHAnsi"/>
                <w:lang w:val="ro-RO"/>
              </w:rPr>
              <w:t>Definiție/Descriere Indicator</w:t>
            </w:r>
          </w:p>
        </w:tc>
        <w:tc>
          <w:tcPr>
            <w:tcW w:w="7112" w:type="dxa"/>
            <w:vAlign w:val="center"/>
          </w:tcPr>
          <w:p w14:paraId="04220432" w14:textId="77777777" w:rsidR="00395F1D" w:rsidRPr="00395F1D" w:rsidRDefault="00395F1D" w:rsidP="00490FF6">
            <w:pPr>
              <w:jc w:val="both"/>
              <w:rPr>
                <w:rFonts w:cstheme="minorHAnsi"/>
                <w:bCs/>
                <w:lang w:val="ro-RO"/>
              </w:rPr>
            </w:pPr>
            <w:r w:rsidRPr="00395F1D">
              <w:rPr>
                <w:rFonts w:cstheme="minorHAnsi"/>
                <w:bCs/>
                <w:lang w:val="ro-RO"/>
              </w:rPr>
              <w:t xml:space="preserve">Valoarea totală estimată a emisiilor de gaze cu efect de sera a entităților sau proceselor sprijinite. </w:t>
            </w:r>
          </w:p>
          <w:p w14:paraId="4BED2771" w14:textId="675D5F68" w:rsidR="00490FF6" w:rsidRPr="00395F1D" w:rsidRDefault="00490FF6" w:rsidP="00490FF6">
            <w:pPr>
              <w:jc w:val="both"/>
              <w:rPr>
                <w:rFonts w:eastAsia="Times New Roman" w:cstheme="minorHAnsi"/>
                <w:lang w:val="ro-RO"/>
              </w:rPr>
            </w:pPr>
            <w:r w:rsidRPr="00395F1D">
              <w:rPr>
                <w:rFonts w:cstheme="minorHAnsi"/>
                <w:bCs/>
                <w:lang w:val="ro-RO"/>
              </w:rPr>
              <w:t xml:space="preserve">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 </w:t>
            </w:r>
            <w:r w:rsidR="00CA40D0" w:rsidRPr="00395F1D">
              <w:rPr>
                <w:rFonts w:cstheme="minorHAnsi"/>
                <w:bCs/>
                <w:lang w:val="ro-RO"/>
              </w:rPr>
              <w:t>conform acordului de finanțare semnat</w:t>
            </w:r>
            <w:r w:rsidR="00D45F54" w:rsidRPr="00395F1D">
              <w:rPr>
                <w:rFonts w:cstheme="minorHAnsi"/>
                <w:bCs/>
                <w:lang w:val="ro-RO"/>
              </w:rPr>
              <w:t>.</w:t>
            </w:r>
          </w:p>
        </w:tc>
      </w:tr>
      <w:tr w:rsidR="00FB53D8" w:rsidRPr="00395F1D" w14:paraId="62DE5AF6" w14:textId="77777777" w:rsidTr="00F4592E">
        <w:trPr>
          <w:jc w:val="center"/>
        </w:trPr>
        <w:tc>
          <w:tcPr>
            <w:tcW w:w="1904" w:type="dxa"/>
          </w:tcPr>
          <w:p w14:paraId="2AAF9A86" w14:textId="77777777" w:rsidR="00FB53D8" w:rsidRPr="00395F1D" w:rsidRDefault="00FB53D8" w:rsidP="00B210CB">
            <w:pPr>
              <w:rPr>
                <w:rFonts w:cstheme="minorHAnsi"/>
                <w:lang w:val="ro-RO"/>
              </w:rPr>
            </w:pPr>
            <w:r w:rsidRPr="00395F1D">
              <w:rPr>
                <w:rFonts w:cstheme="minorHAnsi"/>
                <w:lang w:val="ro-RO"/>
              </w:rPr>
              <w:t>Unitatea de măsură</w:t>
            </w:r>
            <w:r w:rsidRPr="00395F1D">
              <w:rPr>
                <w:rFonts w:cstheme="minorHAnsi"/>
                <w:lang w:val="ro-RO"/>
              </w:rPr>
              <w:tab/>
            </w:r>
          </w:p>
        </w:tc>
        <w:tc>
          <w:tcPr>
            <w:tcW w:w="7112" w:type="dxa"/>
            <w:vAlign w:val="center"/>
          </w:tcPr>
          <w:p w14:paraId="2DC7BE5A" w14:textId="3D577A01" w:rsidR="00FB53D8" w:rsidRPr="00395F1D" w:rsidRDefault="00D45F54" w:rsidP="00EB40DC">
            <w:pPr>
              <w:jc w:val="both"/>
              <w:rPr>
                <w:rFonts w:cstheme="minorHAnsi"/>
                <w:lang w:val="ro-RO"/>
              </w:rPr>
            </w:pPr>
            <w:r w:rsidRPr="00395F1D">
              <w:rPr>
                <w:rFonts w:cstheme="minorHAnsi"/>
                <w:lang w:val="ro-RO"/>
              </w:rPr>
              <w:t xml:space="preserve">Tone </w:t>
            </w:r>
            <w:r w:rsidR="009E0852" w:rsidRPr="00395F1D">
              <w:rPr>
                <w:rFonts w:cstheme="minorHAnsi"/>
                <w:lang w:val="ro-RO"/>
              </w:rPr>
              <w:t xml:space="preserve">CO2 </w:t>
            </w:r>
            <w:r w:rsidR="00732A2F" w:rsidRPr="00395F1D">
              <w:rPr>
                <w:rFonts w:cstheme="minorHAnsi"/>
                <w:lang w:val="ro-RO"/>
              </w:rPr>
              <w:t>echivalent</w:t>
            </w:r>
            <w:r w:rsidRPr="00395F1D">
              <w:rPr>
                <w:rFonts w:cstheme="minorHAnsi"/>
                <w:lang w:val="ro-RO"/>
              </w:rPr>
              <w:t>/</w:t>
            </w:r>
            <w:r w:rsidR="009E0852" w:rsidRPr="00395F1D">
              <w:rPr>
                <w:rFonts w:cstheme="minorHAnsi"/>
                <w:lang w:val="ro-RO"/>
              </w:rPr>
              <w:t xml:space="preserve"> </w:t>
            </w:r>
            <w:r w:rsidRPr="00395F1D">
              <w:rPr>
                <w:rFonts w:cstheme="minorHAnsi"/>
                <w:lang w:val="ro-RO"/>
              </w:rPr>
              <w:t xml:space="preserve">an </w:t>
            </w:r>
          </w:p>
        </w:tc>
      </w:tr>
      <w:tr w:rsidR="00F17FDB" w:rsidRPr="00395F1D" w14:paraId="71874ECB" w14:textId="77777777" w:rsidTr="00F4592E">
        <w:trPr>
          <w:jc w:val="center"/>
        </w:trPr>
        <w:tc>
          <w:tcPr>
            <w:tcW w:w="1904" w:type="dxa"/>
          </w:tcPr>
          <w:p w14:paraId="07546829" w14:textId="5FF04FCE" w:rsidR="00FB53D8" w:rsidRPr="00395F1D" w:rsidRDefault="00FB53D8" w:rsidP="00B210CB">
            <w:pPr>
              <w:rPr>
                <w:rFonts w:cstheme="minorHAnsi"/>
                <w:lang w:val="ro-RO"/>
              </w:rPr>
            </w:pPr>
            <w:r w:rsidRPr="00395F1D">
              <w:rPr>
                <w:rFonts w:cstheme="minorHAnsi"/>
                <w:lang w:val="ro-RO"/>
              </w:rPr>
              <w:t xml:space="preserve">Valoarea de </w:t>
            </w:r>
            <w:r w:rsidR="009E0852" w:rsidRPr="00395F1D">
              <w:rPr>
                <w:rFonts w:cstheme="minorHAnsi"/>
                <w:lang w:val="ro-RO"/>
              </w:rPr>
              <w:t>bază</w:t>
            </w:r>
            <w:r w:rsidR="009E0852" w:rsidRPr="00395F1D" w:rsidDel="009E0852">
              <w:rPr>
                <w:rFonts w:cstheme="minorHAnsi"/>
                <w:lang w:val="ro-RO"/>
              </w:rPr>
              <w:t xml:space="preserve"> </w:t>
            </w:r>
          </w:p>
        </w:tc>
        <w:tc>
          <w:tcPr>
            <w:tcW w:w="7112" w:type="dxa"/>
            <w:vAlign w:val="center"/>
          </w:tcPr>
          <w:p w14:paraId="68787E04" w14:textId="75D7196A" w:rsidR="00FB53D8" w:rsidRPr="00395F1D" w:rsidRDefault="001E59D3" w:rsidP="00EB40DC">
            <w:pPr>
              <w:jc w:val="both"/>
              <w:rPr>
                <w:rFonts w:cstheme="minorHAnsi"/>
                <w:lang w:val="ro-RO"/>
              </w:rPr>
            </w:pPr>
            <w:r w:rsidRPr="00395F1D">
              <w:rPr>
                <w:rFonts w:cstheme="minorHAnsi"/>
                <w:lang w:val="ro-RO"/>
              </w:rPr>
              <w:t>3.063,00</w:t>
            </w:r>
          </w:p>
        </w:tc>
      </w:tr>
      <w:tr w:rsidR="00F17FDB" w:rsidRPr="00395F1D" w14:paraId="5DD0CFAE" w14:textId="77777777" w:rsidTr="00F4592E">
        <w:trPr>
          <w:jc w:val="center"/>
        </w:trPr>
        <w:tc>
          <w:tcPr>
            <w:tcW w:w="1904" w:type="dxa"/>
          </w:tcPr>
          <w:p w14:paraId="6EE6BECD" w14:textId="77777777" w:rsidR="00FB53D8" w:rsidRPr="00395F1D" w:rsidRDefault="00FB53D8" w:rsidP="00B210CB">
            <w:pPr>
              <w:rPr>
                <w:rFonts w:cstheme="minorHAnsi"/>
                <w:lang w:val="ro-RO"/>
              </w:rPr>
            </w:pPr>
            <w:r w:rsidRPr="00395F1D">
              <w:rPr>
                <w:rFonts w:cstheme="minorHAnsi"/>
                <w:lang w:val="ro-RO"/>
              </w:rPr>
              <w:t>Valoarea țintă</w:t>
            </w:r>
          </w:p>
        </w:tc>
        <w:tc>
          <w:tcPr>
            <w:tcW w:w="7112" w:type="dxa"/>
            <w:vAlign w:val="center"/>
          </w:tcPr>
          <w:p w14:paraId="6B41FE97" w14:textId="39222BEF" w:rsidR="00FB53D8" w:rsidRPr="00395F1D" w:rsidRDefault="001E59D3" w:rsidP="00EB40DC">
            <w:pPr>
              <w:jc w:val="both"/>
              <w:rPr>
                <w:rFonts w:cstheme="minorHAnsi"/>
                <w:lang w:val="ro-RO"/>
              </w:rPr>
            </w:pPr>
            <w:r w:rsidRPr="00395F1D">
              <w:rPr>
                <w:rFonts w:cstheme="minorHAnsi"/>
                <w:lang w:val="ro-RO"/>
              </w:rPr>
              <w:t>1.484,00</w:t>
            </w:r>
            <w:r w:rsidR="00D45F54" w:rsidRPr="00395F1D">
              <w:rPr>
                <w:rFonts w:cstheme="minorHAnsi"/>
                <w:lang w:val="ro-RO"/>
              </w:rPr>
              <w:t xml:space="preserve"> </w:t>
            </w:r>
          </w:p>
        </w:tc>
      </w:tr>
      <w:tr w:rsidR="00FB53D8" w:rsidRPr="00395F1D" w14:paraId="5A523398" w14:textId="77777777" w:rsidTr="00F4592E">
        <w:trPr>
          <w:jc w:val="center"/>
        </w:trPr>
        <w:tc>
          <w:tcPr>
            <w:tcW w:w="1904" w:type="dxa"/>
          </w:tcPr>
          <w:p w14:paraId="2EBC248C" w14:textId="77777777" w:rsidR="00FB53D8" w:rsidRPr="00395F1D" w:rsidRDefault="00FB53D8" w:rsidP="00B210CB">
            <w:pPr>
              <w:rPr>
                <w:rFonts w:cstheme="minorHAnsi"/>
                <w:lang w:val="ro-RO"/>
              </w:rPr>
            </w:pPr>
            <w:r w:rsidRPr="00395F1D">
              <w:rPr>
                <w:rFonts w:cstheme="minorHAnsi"/>
                <w:lang w:val="ro-RO"/>
              </w:rPr>
              <w:t>Momentul îndeplinirii</w:t>
            </w:r>
          </w:p>
        </w:tc>
        <w:tc>
          <w:tcPr>
            <w:tcW w:w="7112" w:type="dxa"/>
            <w:vAlign w:val="center"/>
          </w:tcPr>
          <w:p w14:paraId="46A24587" w14:textId="5E6718E4" w:rsidR="00FB53D8" w:rsidRPr="00395F1D" w:rsidRDefault="00B7096B" w:rsidP="00EB40DC">
            <w:pPr>
              <w:jc w:val="both"/>
              <w:rPr>
                <w:rFonts w:cstheme="minorHAnsi"/>
                <w:color w:val="000000"/>
                <w:lang w:val="ro-RO"/>
              </w:rPr>
            </w:pPr>
            <w:r w:rsidRPr="00395F1D">
              <w:rPr>
                <w:rFonts w:cstheme="minorHAnsi"/>
                <w:color w:val="000000"/>
                <w:lang w:val="ro-RO"/>
              </w:rPr>
              <w:t xml:space="preserve">Finalizarea perioadei de implementare conform Acordului de finanțare semnat </w:t>
            </w:r>
          </w:p>
        </w:tc>
      </w:tr>
      <w:tr w:rsidR="00FB53D8" w:rsidRPr="00395F1D" w14:paraId="7EE57752" w14:textId="77777777" w:rsidTr="00F4592E">
        <w:trPr>
          <w:jc w:val="center"/>
        </w:trPr>
        <w:tc>
          <w:tcPr>
            <w:tcW w:w="1904" w:type="dxa"/>
          </w:tcPr>
          <w:p w14:paraId="1E92291C" w14:textId="77777777" w:rsidR="00FB53D8" w:rsidRPr="00395F1D" w:rsidRDefault="00FB53D8" w:rsidP="00B210CB">
            <w:pPr>
              <w:rPr>
                <w:rFonts w:cstheme="minorHAnsi"/>
                <w:lang w:val="ro-RO"/>
              </w:rPr>
            </w:pPr>
            <w:r w:rsidRPr="00395F1D">
              <w:rPr>
                <w:rFonts w:cstheme="minorHAnsi"/>
                <w:lang w:val="ro-RO"/>
              </w:rPr>
              <w:t xml:space="preserve">Documente justificative privind îndeplinirea indicatorului </w:t>
            </w:r>
          </w:p>
        </w:tc>
        <w:tc>
          <w:tcPr>
            <w:tcW w:w="7112" w:type="dxa"/>
            <w:vAlign w:val="center"/>
          </w:tcPr>
          <w:p w14:paraId="18A0BAF6" w14:textId="77777777" w:rsidR="00902890" w:rsidRPr="00395F1D" w:rsidRDefault="00902890" w:rsidP="00B7096B">
            <w:pPr>
              <w:jc w:val="both"/>
              <w:rPr>
                <w:rFonts w:cstheme="minorHAnsi"/>
                <w:lang w:val="ro-RO"/>
              </w:rPr>
            </w:pPr>
            <w:r w:rsidRPr="00395F1D">
              <w:rPr>
                <w:rFonts w:cstheme="minorHAnsi"/>
                <w:lang w:val="ro-RO"/>
              </w:rPr>
              <w:t xml:space="preserve">Raport de progres final </w:t>
            </w:r>
          </w:p>
          <w:p w14:paraId="217F1730" w14:textId="77777777" w:rsidR="00902890" w:rsidRPr="00395F1D" w:rsidRDefault="00902890" w:rsidP="00B7096B">
            <w:pPr>
              <w:jc w:val="both"/>
              <w:rPr>
                <w:rFonts w:cstheme="minorHAnsi"/>
                <w:lang w:val="ro-RO"/>
              </w:rPr>
            </w:pPr>
          </w:p>
          <w:p w14:paraId="401A3254" w14:textId="6931405D" w:rsidR="00B7096B" w:rsidRPr="00395F1D" w:rsidRDefault="00B7096B" w:rsidP="00B7096B">
            <w:pPr>
              <w:jc w:val="both"/>
              <w:rPr>
                <w:rFonts w:cstheme="minorHAnsi"/>
                <w:lang w:val="ro-RO"/>
              </w:rPr>
            </w:pPr>
            <w:r w:rsidRPr="00395F1D">
              <w:rPr>
                <w:rFonts w:cstheme="minorHAnsi"/>
                <w:lang w:val="ro-RO"/>
              </w:rPr>
              <w:t>Valoarea realizată reprezintă emisiile de gaze cu efect de seră estimate după implementare și se măsoară la finalizarea output-ului sprijinit în cadrul proiectului și obținerea CPE sau a altor specificații tehnice relevante, sau realizarea audit-ului de energie.</w:t>
            </w:r>
          </w:p>
          <w:p w14:paraId="48099602" w14:textId="77777777" w:rsidR="00B7096B" w:rsidRPr="00395F1D" w:rsidRDefault="00B7096B" w:rsidP="00B7096B">
            <w:pPr>
              <w:jc w:val="both"/>
              <w:rPr>
                <w:rFonts w:cstheme="minorHAnsi"/>
                <w:lang w:val="ro-RO"/>
              </w:rPr>
            </w:pPr>
          </w:p>
          <w:p w14:paraId="32CCAE3C" w14:textId="3D697021" w:rsidR="00B7096B" w:rsidRPr="00395F1D" w:rsidRDefault="00B7096B" w:rsidP="00B7096B">
            <w:pPr>
              <w:jc w:val="both"/>
              <w:rPr>
                <w:rFonts w:cstheme="minorHAnsi"/>
                <w:lang w:val="ro-RO"/>
              </w:rPr>
            </w:pPr>
            <w:r w:rsidRPr="00395F1D">
              <w:rPr>
                <w:rFonts w:cstheme="minorHAnsi"/>
                <w:lang w:val="ro-RO"/>
              </w:rPr>
              <w:t xml:space="preserve">Exemple de documente justificative includ certificate de performanță energetică, audit-uri energetice, alte specificații tehnice relevante sau măsurarea reducerii emisiilor pe baza nivelului de activitate raportate de instalațiile modernizate. </w:t>
            </w:r>
          </w:p>
          <w:p w14:paraId="3FD8B5C8" w14:textId="77777777" w:rsidR="00B7096B" w:rsidRPr="00395F1D" w:rsidRDefault="00B7096B" w:rsidP="00B7096B">
            <w:pPr>
              <w:jc w:val="both"/>
              <w:rPr>
                <w:rFonts w:cstheme="minorHAnsi"/>
                <w:lang w:val="ro-RO"/>
              </w:rPr>
            </w:pPr>
          </w:p>
          <w:p w14:paraId="7DBE2B06" w14:textId="6FE7C84B" w:rsidR="00B7096B" w:rsidRPr="00395F1D" w:rsidRDefault="00B7096B" w:rsidP="00B7096B">
            <w:pPr>
              <w:jc w:val="both"/>
              <w:rPr>
                <w:rFonts w:cstheme="minorHAnsi"/>
                <w:lang w:val="ro-RO"/>
              </w:rPr>
            </w:pPr>
            <w:r w:rsidRPr="00395F1D">
              <w:rPr>
                <w:rFonts w:cstheme="minorHAnsi"/>
                <w:lang w:val="ro-RO"/>
              </w:rPr>
              <w:t>Pentru granturi globale și</w:t>
            </w:r>
            <w:r w:rsidR="00DE57A2" w:rsidRPr="00395F1D">
              <w:rPr>
                <w:rFonts w:cstheme="minorHAnsi"/>
                <w:lang w:val="ro-RO"/>
              </w:rPr>
              <w:t xml:space="preserve"> </w:t>
            </w:r>
            <w:r w:rsidRPr="00395F1D">
              <w:rPr>
                <w:rFonts w:cstheme="minorHAnsi"/>
                <w:lang w:val="ro-RO"/>
              </w:rPr>
              <w:t>instrumente financiare, este necesar ca Autoritatea de Management să stabilească modalitatea de colectare a datelor și perioada de raportare de către beneficiar a rezultatelor la nivel de beneficiar final.</w:t>
            </w:r>
          </w:p>
          <w:p w14:paraId="7144EFA9" w14:textId="77777777" w:rsidR="00B7096B" w:rsidRPr="00395F1D" w:rsidRDefault="00B7096B" w:rsidP="00B7096B">
            <w:pPr>
              <w:jc w:val="both"/>
              <w:rPr>
                <w:rFonts w:cstheme="minorHAnsi"/>
                <w:lang w:val="ro-RO"/>
              </w:rPr>
            </w:pPr>
          </w:p>
          <w:p w14:paraId="31F0D343" w14:textId="0F814A62" w:rsidR="00FB53D8" w:rsidRPr="00395F1D" w:rsidRDefault="00B7096B" w:rsidP="00B7096B">
            <w:pPr>
              <w:jc w:val="both"/>
              <w:rPr>
                <w:rFonts w:cstheme="minorHAnsi"/>
                <w:bCs/>
                <w:lang w:val="ro-RO"/>
              </w:rPr>
            </w:pPr>
            <w:r w:rsidRPr="00395F1D">
              <w:rPr>
                <w:rFonts w:cstheme="minorHAnsi"/>
                <w:lang w:val="ro-RO"/>
              </w:rPr>
              <w:t>Beneficiarul furnizează Autorității de Management și metodologiile utilizate pentru stabilire</w:t>
            </w:r>
            <w:r w:rsidR="00CA40D0" w:rsidRPr="00395F1D">
              <w:rPr>
                <w:rFonts w:cstheme="minorHAnsi"/>
                <w:lang w:val="ro-RO"/>
              </w:rPr>
              <w:t xml:space="preserve"> </w:t>
            </w:r>
            <w:r w:rsidRPr="00395F1D">
              <w:rPr>
                <w:rFonts w:cstheme="minorHAnsi"/>
                <w:lang w:val="ro-RO"/>
              </w:rPr>
              <w:t>a țintei proiectului.</w:t>
            </w:r>
          </w:p>
        </w:tc>
      </w:tr>
    </w:tbl>
    <w:p w14:paraId="7E4BCFDD" w14:textId="77777777" w:rsidR="00FB53D8" w:rsidRPr="00395F1D" w:rsidRDefault="00FB53D8" w:rsidP="00EB40DC">
      <w:pPr>
        <w:spacing w:after="0"/>
        <w:rPr>
          <w:rFonts w:cstheme="minorHAnsi"/>
          <w:b/>
          <w:bCs/>
          <w:color w:val="2F5496" w:themeColor="accent1" w:themeShade="BF"/>
          <w:lang w:val="ro-RO"/>
        </w:rPr>
      </w:pPr>
    </w:p>
    <w:p w14:paraId="2DAA1F22" w14:textId="77777777" w:rsidR="00EB40DC" w:rsidRPr="00395F1D" w:rsidRDefault="00EB40DC" w:rsidP="00EB40DC">
      <w:pPr>
        <w:spacing w:after="0"/>
        <w:rPr>
          <w:rFonts w:cstheme="minorHAnsi"/>
          <w:b/>
          <w:bCs/>
          <w:color w:val="2F5496" w:themeColor="accent1" w:themeShade="BF"/>
          <w:lang w:val="ro-RO"/>
        </w:rPr>
      </w:pPr>
    </w:p>
    <w:sectPr w:rsidR="00EB40DC" w:rsidRPr="00395F1D" w:rsidSect="00BB15E0">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701F0" w14:textId="77777777" w:rsidR="00B7362A" w:rsidRDefault="00B7362A" w:rsidP="00156BD4">
      <w:pPr>
        <w:spacing w:after="0" w:line="240" w:lineRule="auto"/>
      </w:pPr>
      <w:r>
        <w:separator/>
      </w:r>
    </w:p>
  </w:endnote>
  <w:endnote w:type="continuationSeparator" w:id="0">
    <w:p w14:paraId="3158DACC" w14:textId="77777777" w:rsidR="00B7362A" w:rsidRDefault="00B7362A" w:rsidP="00156BD4">
      <w:pPr>
        <w:spacing w:after="0" w:line="240" w:lineRule="auto"/>
      </w:pPr>
      <w:r>
        <w:continuationSeparator/>
      </w:r>
    </w:p>
  </w:endnote>
  <w:endnote w:type="continuationNotice" w:id="1">
    <w:p w14:paraId="65837381" w14:textId="77777777" w:rsidR="00B7362A" w:rsidRDefault="00B736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2C91C" w14:textId="77777777" w:rsidR="00BB15E0" w:rsidRDefault="00BB15E0" w:rsidP="002016E9">
    <w:pPr>
      <w:pStyle w:val="Footer"/>
      <w:jc w:val="right"/>
      <w:rPr>
        <w:rStyle w:val="PageNumber"/>
        <w:color w:val="333333"/>
        <w:sz w:val="20"/>
        <w:szCs w:val="20"/>
      </w:rPr>
    </w:pPr>
  </w:p>
  <w:p w14:paraId="71C53EF9" w14:textId="169F3AF5" w:rsidR="007B0852" w:rsidRPr="006817A7" w:rsidRDefault="002016E9" w:rsidP="007B0852">
    <w:pPr>
      <w:pStyle w:val="Footer"/>
      <w:jc w:val="right"/>
      <w:rPr>
        <w:color w:val="333333"/>
        <w:sz w:val="20"/>
        <w:szCs w:val="20"/>
        <w:lang w:val="pt-BR"/>
      </w:rPr>
    </w:pPr>
    <w:r w:rsidRPr="00C415BE">
      <w:rPr>
        <w:rStyle w:val="PageNumber"/>
        <w:color w:val="333333"/>
        <w:sz w:val="20"/>
        <w:szCs w:val="20"/>
      </w:rPr>
      <w:fldChar w:fldCharType="begin"/>
    </w:r>
    <w:r w:rsidRPr="006817A7">
      <w:rPr>
        <w:rStyle w:val="PageNumber"/>
        <w:color w:val="333333"/>
        <w:sz w:val="20"/>
        <w:szCs w:val="20"/>
        <w:lang w:val="pt-BR"/>
      </w:rPr>
      <w:instrText xml:space="preserve"> PAGE </w:instrText>
    </w:r>
    <w:r w:rsidRPr="00C415BE">
      <w:rPr>
        <w:rStyle w:val="PageNumber"/>
        <w:color w:val="333333"/>
        <w:sz w:val="20"/>
        <w:szCs w:val="20"/>
      </w:rPr>
      <w:fldChar w:fldCharType="separate"/>
    </w:r>
    <w:r w:rsidR="001E59D3">
      <w:rPr>
        <w:rStyle w:val="PageNumber"/>
        <w:noProof/>
        <w:color w:val="333333"/>
        <w:sz w:val="20"/>
        <w:szCs w:val="20"/>
        <w:lang w:val="pt-BR"/>
      </w:rPr>
      <w:t>3</w:t>
    </w:r>
    <w:r w:rsidRPr="00C415BE">
      <w:rPr>
        <w:rStyle w:val="PageNumber"/>
        <w:color w:val="333333"/>
        <w:sz w:val="20"/>
        <w:szCs w:val="20"/>
      </w:rPr>
      <w:fldChar w:fldCharType="end"/>
    </w:r>
  </w:p>
  <w:p w14:paraId="370DCCC5" w14:textId="1597413A"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p w14:paraId="27757437" w14:textId="77777777"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5C8B6" w14:textId="77777777" w:rsidR="00BB15E0" w:rsidRDefault="00BB15E0" w:rsidP="00DE644D">
    <w:pPr>
      <w:pStyle w:val="Footer"/>
      <w:jc w:val="right"/>
      <w:rPr>
        <w:rStyle w:val="PageNumber"/>
        <w:color w:val="333333"/>
        <w:sz w:val="20"/>
        <w:szCs w:val="20"/>
      </w:rPr>
    </w:pPr>
  </w:p>
  <w:p w14:paraId="7A42E601" w14:textId="300DB182" w:rsidR="007B0852" w:rsidRPr="007B0852" w:rsidRDefault="00DE644D" w:rsidP="007B0852">
    <w:pPr>
      <w:pStyle w:val="Footer"/>
      <w:jc w:val="right"/>
      <w:rPr>
        <w:b/>
        <w:noProof/>
        <w:color w:val="002060"/>
        <w:sz w:val="18"/>
        <w:szCs w:val="18"/>
        <w:lang w:val="ro-RO" w:eastAsia="ro-RO"/>
      </w:rPr>
    </w:pPr>
    <w:r w:rsidRPr="00C415BE">
      <w:rPr>
        <w:rStyle w:val="PageNumber"/>
        <w:color w:val="333333"/>
        <w:sz w:val="20"/>
        <w:szCs w:val="20"/>
      </w:rPr>
      <w:fldChar w:fldCharType="begin"/>
    </w:r>
    <w:r w:rsidRPr="006817A7">
      <w:rPr>
        <w:rStyle w:val="PageNumber"/>
        <w:color w:val="333333"/>
        <w:sz w:val="20"/>
        <w:szCs w:val="20"/>
        <w:lang w:val="pt-BR"/>
      </w:rPr>
      <w:instrText xml:space="preserve"> PAGE </w:instrText>
    </w:r>
    <w:r w:rsidRPr="00C415BE">
      <w:rPr>
        <w:rStyle w:val="PageNumber"/>
        <w:color w:val="333333"/>
        <w:sz w:val="20"/>
        <w:szCs w:val="20"/>
      </w:rPr>
      <w:fldChar w:fldCharType="separate"/>
    </w:r>
    <w:r w:rsidR="001E59D3">
      <w:rPr>
        <w:rStyle w:val="PageNumber"/>
        <w:noProof/>
        <w:color w:val="333333"/>
        <w:sz w:val="20"/>
        <w:szCs w:val="20"/>
        <w:lang w:val="pt-BR"/>
      </w:rPr>
      <w:t>1</w:t>
    </w:r>
    <w:r w:rsidRPr="00C415BE">
      <w:rPr>
        <w:rStyle w:val="PageNumber"/>
        <w:color w:val="333333"/>
        <w:sz w:val="20"/>
        <w:szCs w:val="20"/>
      </w:rPr>
      <w:fldChar w:fldCharType="end"/>
    </w:r>
  </w:p>
  <w:p w14:paraId="737EBB88" w14:textId="7FCDB1DF"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p w14:paraId="5FED4452" w14:textId="77777777" w:rsidR="007B0852" w:rsidRPr="007B0852" w:rsidRDefault="007B0852" w:rsidP="007B0852">
    <w:pPr>
      <w:tabs>
        <w:tab w:val="center" w:pos="4513"/>
        <w:tab w:val="right" w:pos="9026"/>
      </w:tabs>
      <w:spacing w:after="0" w:line="240" w:lineRule="auto"/>
      <w:rPr>
        <w:rFonts w:ascii="Calibri" w:eastAsia="Calibri" w:hAnsi="Calibri" w:cs="Times New Roman"/>
        <w:kern w:val="0"/>
        <w:lang w:val="ro-RO"/>
        <w14:ligatures w14: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78620" w14:textId="77777777" w:rsidR="00B7362A" w:rsidRDefault="00B7362A" w:rsidP="00156BD4">
      <w:pPr>
        <w:spacing w:after="0" w:line="240" w:lineRule="auto"/>
      </w:pPr>
      <w:r>
        <w:separator/>
      </w:r>
    </w:p>
  </w:footnote>
  <w:footnote w:type="continuationSeparator" w:id="0">
    <w:p w14:paraId="4ECB9E24" w14:textId="77777777" w:rsidR="00B7362A" w:rsidRDefault="00B7362A" w:rsidP="00156BD4">
      <w:pPr>
        <w:spacing w:after="0" w:line="240" w:lineRule="auto"/>
      </w:pPr>
      <w:r>
        <w:continuationSeparator/>
      </w:r>
    </w:p>
  </w:footnote>
  <w:footnote w:type="continuationNotice" w:id="1">
    <w:p w14:paraId="39DCF94B" w14:textId="77777777" w:rsidR="00B7362A" w:rsidRDefault="00B736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4BC8" w14:textId="04481E41" w:rsidR="00DE644D" w:rsidRPr="007B0852" w:rsidRDefault="00DE644D">
    <w:pPr>
      <w:pStyle w:val="Header"/>
    </w:pPr>
  </w:p>
  <w:p w14:paraId="62D4FDD3" w14:textId="77777777" w:rsidR="00F52E1E" w:rsidRPr="007B0852" w:rsidRDefault="00F52E1E">
    <w:pPr>
      <w:pStyle w:val="Header"/>
    </w:pPr>
  </w:p>
  <w:p w14:paraId="33034371" w14:textId="77777777" w:rsidR="00F52E1E" w:rsidRPr="007B0852" w:rsidRDefault="00F52E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00330"/>
    <w:multiLevelType w:val="hybridMultilevel"/>
    <w:tmpl w:val="455C4918"/>
    <w:lvl w:ilvl="0" w:tplc="D3F02F2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E950E1F"/>
    <w:multiLevelType w:val="hybridMultilevel"/>
    <w:tmpl w:val="56C07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825DD1"/>
    <w:multiLevelType w:val="hybridMultilevel"/>
    <w:tmpl w:val="08E0CA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0836D2B"/>
    <w:multiLevelType w:val="hybridMultilevel"/>
    <w:tmpl w:val="0A82A328"/>
    <w:lvl w:ilvl="0" w:tplc="C644BCA8">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58067D0"/>
    <w:multiLevelType w:val="hybridMultilevel"/>
    <w:tmpl w:val="AE08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9F0357"/>
    <w:multiLevelType w:val="hybridMultilevel"/>
    <w:tmpl w:val="DDAC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6E6FC8"/>
    <w:multiLevelType w:val="hybridMultilevel"/>
    <w:tmpl w:val="08E0CAF2"/>
    <w:lvl w:ilvl="0" w:tplc="220CB3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0A9"/>
    <w:rsid w:val="000000A9"/>
    <w:rsid w:val="00000542"/>
    <w:rsid w:val="0000253E"/>
    <w:rsid w:val="00002DB0"/>
    <w:rsid w:val="00004378"/>
    <w:rsid w:val="00012FBE"/>
    <w:rsid w:val="0001528E"/>
    <w:rsid w:val="0001581F"/>
    <w:rsid w:val="00023342"/>
    <w:rsid w:val="00027AF3"/>
    <w:rsid w:val="00034ACB"/>
    <w:rsid w:val="00047F04"/>
    <w:rsid w:val="000535A3"/>
    <w:rsid w:val="000546D1"/>
    <w:rsid w:val="00055553"/>
    <w:rsid w:val="000627A0"/>
    <w:rsid w:val="00063F9F"/>
    <w:rsid w:val="00077008"/>
    <w:rsid w:val="000805EA"/>
    <w:rsid w:val="00082328"/>
    <w:rsid w:val="000A21AC"/>
    <w:rsid w:val="000B54DC"/>
    <w:rsid w:val="000C086E"/>
    <w:rsid w:val="000C31B9"/>
    <w:rsid w:val="000C3CA7"/>
    <w:rsid w:val="000C4004"/>
    <w:rsid w:val="000C4202"/>
    <w:rsid w:val="000C5ECF"/>
    <w:rsid w:val="000D027B"/>
    <w:rsid w:val="000D1B95"/>
    <w:rsid w:val="000E6546"/>
    <w:rsid w:val="000E770A"/>
    <w:rsid w:val="000F4621"/>
    <w:rsid w:val="000F6947"/>
    <w:rsid w:val="000F7E56"/>
    <w:rsid w:val="00100BD9"/>
    <w:rsid w:val="001011E1"/>
    <w:rsid w:val="00102E64"/>
    <w:rsid w:val="00106BDC"/>
    <w:rsid w:val="00107D84"/>
    <w:rsid w:val="00112B93"/>
    <w:rsid w:val="0012110C"/>
    <w:rsid w:val="00125AE1"/>
    <w:rsid w:val="001342FF"/>
    <w:rsid w:val="0013547E"/>
    <w:rsid w:val="00135DAA"/>
    <w:rsid w:val="00143B58"/>
    <w:rsid w:val="001471D7"/>
    <w:rsid w:val="00151FF3"/>
    <w:rsid w:val="001555BA"/>
    <w:rsid w:val="00155A3A"/>
    <w:rsid w:val="00156BD4"/>
    <w:rsid w:val="0015736E"/>
    <w:rsid w:val="0016696B"/>
    <w:rsid w:val="0017627F"/>
    <w:rsid w:val="00177F89"/>
    <w:rsid w:val="001814A3"/>
    <w:rsid w:val="001826CD"/>
    <w:rsid w:val="001838F7"/>
    <w:rsid w:val="0018604F"/>
    <w:rsid w:val="0019050B"/>
    <w:rsid w:val="00193E8F"/>
    <w:rsid w:val="00193F65"/>
    <w:rsid w:val="001A44F2"/>
    <w:rsid w:val="001B2814"/>
    <w:rsid w:val="001B34C2"/>
    <w:rsid w:val="001B4C43"/>
    <w:rsid w:val="001B7AA8"/>
    <w:rsid w:val="001C08B4"/>
    <w:rsid w:val="001C1730"/>
    <w:rsid w:val="001C3E4E"/>
    <w:rsid w:val="001D234E"/>
    <w:rsid w:val="001D5496"/>
    <w:rsid w:val="001E479E"/>
    <w:rsid w:val="001E59D3"/>
    <w:rsid w:val="001E68E8"/>
    <w:rsid w:val="001E692F"/>
    <w:rsid w:val="001F1F6D"/>
    <w:rsid w:val="001F3ABE"/>
    <w:rsid w:val="001F55A4"/>
    <w:rsid w:val="002016E9"/>
    <w:rsid w:val="002025D5"/>
    <w:rsid w:val="0020359A"/>
    <w:rsid w:val="00206E2D"/>
    <w:rsid w:val="00210DC6"/>
    <w:rsid w:val="0021534E"/>
    <w:rsid w:val="00216914"/>
    <w:rsid w:val="00217A92"/>
    <w:rsid w:val="00221745"/>
    <w:rsid w:val="00222E17"/>
    <w:rsid w:val="002243AC"/>
    <w:rsid w:val="002246DD"/>
    <w:rsid w:val="00225487"/>
    <w:rsid w:val="00225A72"/>
    <w:rsid w:val="00232679"/>
    <w:rsid w:val="0024302B"/>
    <w:rsid w:val="002447C1"/>
    <w:rsid w:val="0024567D"/>
    <w:rsid w:val="00246697"/>
    <w:rsid w:val="0025167D"/>
    <w:rsid w:val="00255B33"/>
    <w:rsid w:val="00256A00"/>
    <w:rsid w:val="00264430"/>
    <w:rsid w:val="0027183D"/>
    <w:rsid w:val="0027398E"/>
    <w:rsid w:val="00274626"/>
    <w:rsid w:val="00276583"/>
    <w:rsid w:val="002801CC"/>
    <w:rsid w:val="00283F7D"/>
    <w:rsid w:val="002A316B"/>
    <w:rsid w:val="002B1866"/>
    <w:rsid w:val="002B1DEC"/>
    <w:rsid w:val="002B2308"/>
    <w:rsid w:val="002C244C"/>
    <w:rsid w:val="002C549B"/>
    <w:rsid w:val="002C5B91"/>
    <w:rsid w:val="002D1F97"/>
    <w:rsid w:val="002E5849"/>
    <w:rsid w:val="002E70A3"/>
    <w:rsid w:val="002F10E6"/>
    <w:rsid w:val="002F4800"/>
    <w:rsid w:val="002F5B29"/>
    <w:rsid w:val="0030385D"/>
    <w:rsid w:val="003065A3"/>
    <w:rsid w:val="00310C51"/>
    <w:rsid w:val="00312382"/>
    <w:rsid w:val="003129F9"/>
    <w:rsid w:val="00317E3F"/>
    <w:rsid w:val="003201CC"/>
    <w:rsid w:val="0032294E"/>
    <w:rsid w:val="00323E2C"/>
    <w:rsid w:val="00325235"/>
    <w:rsid w:val="00332554"/>
    <w:rsid w:val="00337848"/>
    <w:rsid w:val="00343E46"/>
    <w:rsid w:val="00344103"/>
    <w:rsid w:val="00344887"/>
    <w:rsid w:val="0034550B"/>
    <w:rsid w:val="0034708E"/>
    <w:rsid w:val="00347BDE"/>
    <w:rsid w:val="00351B5E"/>
    <w:rsid w:val="00354225"/>
    <w:rsid w:val="00365219"/>
    <w:rsid w:val="003666A0"/>
    <w:rsid w:val="003720B9"/>
    <w:rsid w:val="00373531"/>
    <w:rsid w:val="00381229"/>
    <w:rsid w:val="00381B2C"/>
    <w:rsid w:val="0038355F"/>
    <w:rsid w:val="0039039C"/>
    <w:rsid w:val="00394701"/>
    <w:rsid w:val="00395F1D"/>
    <w:rsid w:val="003975F3"/>
    <w:rsid w:val="00397BC1"/>
    <w:rsid w:val="003A3AE6"/>
    <w:rsid w:val="003B391E"/>
    <w:rsid w:val="003C2F31"/>
    <w:rsid w:val="003D3BB2"/>
    <w:rsid w:val="003D3D66"/>
    <w:rsid w:val="003E5E15"/>
    <w:rsid w:val="003F4EAD"/>
    <w:rsid w:val="003F63B8"/>
    <w:rsid w:val="00407B4C"/>
    <w:rsid w:val="00410F75"/>
    <w:rsid w:val="004218C0"/>
    <w:rsid w:val="00425A3A"/>
    <w:rsid w:val="00435459"/>
    <w:rsid w:val="00437FA0"/>
    <w:rsid w:val="004427E3"/>
    <w:rsid w:val="0044311D"/>
    <w:rsid w:val="00443537"/>
    <w:rsid w:val="00447166"/>
    <w:rsid w:val="00455E81"/>
    <w:rsid w:val="00456272"/>
    <w:rsid w:val="00460DFD"/>
    <w:rsid w:val="00461A0E"/>
    <w:rsid w:val="00467D11"/>
    <w:rsid w:val="004703A9"/>
    <w:rsid w:val="00473B9B"/>
    <w:rsid w:val="00481491"/>
    <w:rsid w:val="00481CB7"/>
    <w:rsid w:val="004860F5"/>
    <w:rsid w:val="00486821"/>
    <w:rsid w:val="0048754C"/>
    <w:rsid w:val="00490FF6"/>
    <w:rsid w:val="00494B8C"/>
    <w:rsid w:val="004A1BD8"/>
    <w:rsid w:val="004A292E"/>
    <w:rsid w:val="004A631A"/>
    <w:rsid w:val="004B03A1"/>
    <w:rsid w:val="004C0400"/>
    <w:rsid w:val="004C3657"/>
    <w:rsid w:val="004C45C4"/>
    <w:rsid w:val="004C6712"/>
    <w:rsid w:val="004D1A65"/>
    <w:rsid w:val="004D2F45"/>
    <w:rsid w:val="004D475D"/>
    <w:rsid w:val="004F695B"/>
    <w:rsid w:val="00502596"/>
    <w:rsid w:val="0051763C"/>
    <w:rsid w:val="005224B0"/>
    <w:rsid w:val="005226A9"/>
    <w:rsid w:val="005234D7"/>
    <w:rsid w:val="00523916"/>
    <w:rsid w:val="005239A2"/>
    <w:rsid w:val="00523BE7"/>
    <w:rsid w:val="005270ED"/>
    <w:rsid w:val="00527480"/>
    <w:rsid w:val="00530933"/>
    <w:rsid w:val="00532810"/>
    <w:rsid w:val="00534C9A"/>
    <w:rsid w:val="0055078B"/>
    <w:rsid w:val="00553E14"/>
    <w:rsid w:val="00554436"/>
    <w:rsid w:val="0055562E"/>
    <w:rsid w:val="0055687D"/>
    <w:rsid w:val="00560551"/>
    <w:rsid w:val="0056315E"/>
    <w:rsid w:val="005705A7"/>
    <w:rsid w:val="00570843"/>
    <w:rsid w:val="0057295D"/>
    <w:rsid w:val="005744FB"/>
    <w:rsid w:val="00574545"/>
    <w:rsid w:val="00584D2A"/>
    <w:rsid w:val="00587EDC"/>
    <w:rsid w:val="00591032"/>
    <w:rsid w:val="005918F9"/>
    <w:rsid w:val="00592BB2"/>
    <w:rsid w:val="00594B97"/>
    <w:rsid w:val="00597A65"/>
    <w:rsid w:val="005A505E"/>
    <w:rsid w:val="005A790D"/>
    <w:rsid w:val="005A7FDB"/>
    <w:rsid w:val="005B5096"/>
    <w:rsid w:val="005B70BA"/>
    <w:rsid w:val="005B7B46"/>
    <w:rsid w:val="005C1E7A"/>
    <w:rsid w:val="005C3400"/>
    <w:rsid w:val="005C3965"/>
    <w:rsid w:val="005C6554"/>
    <w:rsid w:val="005C797D"/>
    <w:rsid w:val="005D0087"/>
    <w:rsid w:val="005D0948"/>
    <w:rsid w:val="005D1746"/>
    <w:rsid w:val="005D3121"/>
    <w:rsid w:val="005F4D47"/>
    <w:rsid w:val="00601E74"/>
    <w:rsid w:val="00605C6C"/>
    <w:rsid w:val="0061027D"/>
    <w:rsid w:val="00620D98"/>
    <w:rsid w:val="0062528B"/>
    <w:rsid w:val="00631563"/>
    <w:rsid w:val="0063183C"/>
    <w:rsid w:val="00635B53"/>
    <w:rsid w:val="00643520"/>
    <w:rsid w:val="00644DDC"/>
    <w:rsid w:val="00645DE1"/>
    <w:rsid w:val="00654AFE"/>
    <w:rsid w:val="00657873"/>
    <w:rsid w:val="0066721E"/>
    <w:rsid w:val="0067347B"/>
    <w:rsid w:val="00673C6A"/>
    <w:rsid w:val="0067742B"/>
    <w:rsid w:val="006805CF"/>
    <w:rsid w:val="006817A7"/>
    <w:rsid w:val="0068533C"/>
    <w:rsid w:val="00686C70"/>
    <w:rsid w:val="006878D7"/>
    <w:rsid w:val="0069180E"/>
    <w:rsid w:val="00695467"/>
    <w:rsid w:val="00696ED3"/>
    <w:rsid w:val="006A005E"/>
    <w:rsid w:val="006B0D1D"/>
    <w:rsid w:val="006C2272"/>
    <w:rsid w:val="006D179E"/>
    <w:rsid w:val="006D54C4"/>
    <w:rsid w:val="006E3FCF"/>
    <w:rsid w:val="006F3BCF"/>
    <w:rsid w:val="006F6C3B"/>
    <w:rsid w:val="0071041D"/>
    <w:rsid w:val="0071203A"/>
    <w:rsid w:val="00714144"/>
    <w:rsid w:val="007165B5"/>
    <w:rsid w:val="007265C3"/>
    <w:rsid w:val="00730D8D"/>
    <w:rsid w:val="00732A2F"/>
    <w:rsid w:val="0073405F"/>
    <w:rsid w:val="00737269"/>
    <w:rsid w:val="00742069"/>
    <w:rsid w:val="00743ADB"/>
    <w:rsid w:val="00745757"/>
    <w:rsid w:val="0074627D"/>
    <w:rsid w:val="007608A3"/>
    <w:rsid w:val="00765082"/>
    <w:rsid w:val="00767662"/>
    <w:rsid w:val="00767FF4"/>
    <w:rsid w:val="00782F42"/>
    <w:rsid w:val="00792795"/>
    <w:rsid w:val="00792B25"/>
    <w:rsid w:val="00792D7E"/>
    <w:rsid w:val="00797004"/>
    <w:rsid w:val="007B0852"/>
    <w:rsid w:val="007B3A84"/>
    <w:rsid w:val="007B50A5"/>
    <w:rsid w:val="007B615A"/>
    <w:rsid w:val="007C612C"/>
    <w:rsid w:val="007D1666"/>
    <w:rsid w:val="007D40A9"/>
    <w:rsid w:val="007E30A5"/>
    <w:rsid w:val="007E3382"/>
    <w:rsid w:val="007E4EEC"/>
    <w:rsid w:val="007E6617"/>
    <w:rsid w:val="007F2DBD"/>
    <w:rsid w:val="007F6089"/>
    <w:rsid w:val="007F6A2D"/>
    <w:rsid w:val="00807613"/>
    <w:rsid w:val="00807DD6"/>
    <w:rsid w:val="00811EBB"/>
    <w:rsid w:val="00812C09"/>
    <w:rsid w:val="00815999"/>
    <w:rsid w:val="00825FCE"/>
    <w:rsid w:val="00826791"/>
    <w:rsid w:val="00827E31"/>
    <w:rsid w:val="0083761B"/>
    <w:rsid w:val="0083796E"/>
    <w:rsid w:val="008410C4"/>
    <w:rsid w:val="00846293"/>
    <w:rsid w:val="008475F7"/>
    <w:rsid w:val="00853F11"/>
    <w:rsid w:val="00855162"/>
    <w:rsid w:val="00855E53"/>
    <w:rsid w:val="0086408B"/>
    <w:rsid w:val="00864EC9"/>
    <w:rsid w:val="008746F2"/>
    <w:rsid w:val="008766CC"/>
    <w:rsid w:val="00885EF6"/>
    <w:rsid w:val="00891485"/>
    <w:rsid w:val="00892566"/>
    <w:rsid w:val="0089275E"/>
    <w:rsid w:val="00892A78"/>
    <w:rsid w:val="008A0A47"/>
    <w:rsid w:val="008B1B95"/>
    <w:rsid w:val="008B2293"/>
    <w:rsid w:val="008B416A"/>
    <w:rsid w:val="008C6007"/>
    <w:rsid w:val="008D194E"/>
    <w:rsid w:val="008D542D"/>
    <w:rsid w:val="008D7119"/>
    <w:rsid w:val="008E7061"/>
    <w:rsid w:val="008E7D0E"/>
    <w:rsid w:val="008F1A52"/>
    <w:rsid w:val="008F1F87"/>
    <w:rsid w:val="008F65F3"/>
    <w:rsid w:val="00902890"/>
    <w:rsid w:val="009137EA"/>
    <w:rsid w:val="00920F92"/>
    <w:rsid w:val="009217C3"/>
    <w:rsid w:val="009302F1"/>
    <w:rsid w:val="009317FA"/>
    <w:rsid w:val="009325C2"/>
    <w:rsid w:val="00934E1E"/>
    <w:rsid w:val="00941116"/>
    <w:rsid w:val="0094168E"/>
    <w:rsid w:val="009440F2"/>
    <w:rsid w:val="00947E0F"/>
    <w:rsid w:val="00951363"/>
    <w:rsid w:val="009526B4"/>
    <w:rsid w:val="009572DF"/>
    <w:rsid w:val="00964670"/>
    <w:rsid w:val="00965FD9"/>
    <w:rsid w:val="0097117E"/>
    <w:rsid w:val="00973C13"/>
    <w:rsid w:val="00977DB9"/>
    <w:rsid w:val="00981FA1"/>
    <w:rsid w:val="00984660"/>
    <w:rsid w:val="00985A48"/>
    <w:rsid w:val="0099148D"/>
    <w:rsid w:val="00991C9D"/>
    <w:rsid w:val="00993951"/>
    <w:rsid w:val="009B0A42"/>
    <w:rsid w:val="009B39EA"/>
    <w:rsid w:val="009B4232"/>
    <w:rsid w:val="009B43F7"/>
    <w:rsid w:val="009B5BA3"/>
    <w:rsid w:val="009B756E"/>
    <w:rsid w:val="009B7C00"/>
    <w:rsid w:val="009C229A"/>
    <w:rsid w:val="009C69E1"/>
    <w:rsid w:val="009C7C73"/>
    <w:rsid w:val="009D13B4"/>
    <w:rsid w:val="009D319C"/>
    <w:rsid w:val="009E0852"/>
    <w:rsid w:val="009E0EB8"/>
    <w:rsid w:val="009E182C"/>
    <w:rsid w:val="009F19AF"/>
    <w:rsid w:val="00A00B9E"/>
    <w:rsid w:val="00A05969"/>
    <w:rsid w:val="00A05E01"/>
    <w:rsid w:val="00A13853"/>
    <w:rsid w:val="00A30BFF"/>
    <w:rsid w:val="00A30C23"/>
    <w:rsid w:val="00A31096"/>
    <w:rsid w:val="00A4515D"/>
    <w:rsid w:val="00A52828"/>
    <w:rsid w:val="00A53E79"/>
    <w:rsid w:val="00A5658C"/>
    <w:rsid w:val="00A57D64"/>
    <w:rsid w:val="00A64AE9"/>
    <w:rsid w:val="00A67501"/>
    <w:rsid w:val="00A71231"/>
    <w:rsid w:val="00A73CED"/>
    <w:rsid w:val="00A827A8"/>
    <w:rsid w:val="00A9507B"/>
    <w:rsid w:val="00A97FEA"/>
    <w:rsid w:val="00AB1769"/>
    <w:rsid w:val="00AB1C9A"/>
    <w:rsid w:val="00AB1FA3"/>
    <w:rsid w:val="00AB644E"/>
    <w:rsid w:val="00AC2A07"/>
    <w:rsid w:val="00AC3DF7"/>
    <w:rsid w:val="00AC5A7C"/>
    <w:rsid w:val="00AD1E1B"/>
    <w:rsid w:val="00AD266C"/>
    <w:rsid w:val="00AD5C7B"/>
    <w:rsid w:val="00AE7643"/>
    <w:rsid w:val="00AF2AC5"/>
    <w:rsid w:val="00AF3AAE"/>
    <w:rsid w:val="00AF6B4D"/>
    <w:rsid w:val="00AF7384"/>
    <w:rsid w:val="00AF79A1"/>
    <w:rsid w:val="00B00692"/>
    <w:rsid w:val="00B07014"/>
    <w:rsid w:val="00B16675"/>
    <w:rsid w:val="00B210CB"/>
    <w:rsid w:val="00B221E4"/>
    <w:rsid w:val="00B22DA8"/>
    <w:rsid w:val="00B23837"/>
    <w:rsid w:val="00B23EED"/>
    <w:rsid w:val="00B27ED7"/>
    <w:rsid w:val="00B34185"/>
    <w:rsid w:val="00B4079F"/>
    <w:rsid w:val="00B4256F"/>
    <w:rsid w:val="00B44693"/>
    <w:rsid w:val="00B459BA"/>
    <w:rsid w:val="00B46070"/>
    <w:rsid w:val="00B57BBA"/>
    <w:rsid w:val="00B61674"/>
    <w:rsid w:val="00B618EF"/>
    <w:rsid w:val="00B64E83"/>
    <w:rsid w:val="00B657E3"/>
    <w:rsid w:val="00B7079A"/>
    <w:rsid w:val="00B7096B"/>
    <w:rsid w:val="00B7362A"/>
    <w:rsid w:val="00B7492D"/>
    <w:rsid w:val="00B855B5"/>
    <w:rsid w:val="00B856C0"/>
    <w:rsid w:val="00B87153"/>
    <w:rsid w:val="00B91EB6"/>
    <w:rsid w:val="00B93594"/>
    <w:rsid w:val="00B96963"/>
    <w:rsid w:val="00B97819"/>
    <w:rsid w:val="00BA134A"/>
    <w:rsid w:val="00BA2C1A"/>
    <w:rsid w:val="00BA6A3F"/>
    <w:rsid w:val="00BA7537"/>
    <w:rsid w:val="00BB091F"/>
    <w:rsid w:val="00BB15E0"/>
    <w:rsid w:val="00BC110F"/>
    <w:rsid w:val="00BC2AAB"/>
    <w:rsid w:val="00BD0DE6"/>
    <w:rsid w:val="00BD5172"/>
    <w:rsid w:val="00BD643D"/>
    <w:rsid w:val="00BD76A9"/>
    <w:rsid w:val="00BE1892"/>
    <w:rsid w:val="00BE7264"/>
    <w:rsid w:val="00C00D96"/>
    <w:rsid w:val="00C0152A"/>
    <w:rsid w:val="00C02F02"/>
    <w:rsid w:val="00C066C4"/>
    <w:rsid w:val="00C06833"/>
    <w:rsid w:val="00C10477"/>
    <w:rsid w:val="00C10E3B"/>
    <w:rsid w:val="00C13830"/>
    <w:rsid w:val="00C1410B"/>
    <w:rsid w:val="00C16241"/>
    <w:rsid w:val="00C16383"/>
    <w:rsid w:val="00C16D89"/>
    <w:rsid w:val="00C24F46"/>
    <w:rsid w:val="00C25252"/>
    <w:rsid w:val="00C26297"/>
    <w:rsid w:val="00C3776E"/>
    <w:rsid w:val="00C41F08"/>
    <w:rsid w:val="00C43A7B"/>
    <w:rsid w:val="00C651AE"/>
    <w:rsid w:val="00C65A2A"/>
    <w:rsid w:val="00C7699F"/>
    <w:rsid w:val="00C836E1"/>
    <w:rsid w:val="00C91CE3"/>
    <w:rsid w:val="00C925FA"/>
    <w:rsid w:val="00C93218"/>
    <w:rsid w:val="00CA02CD"/>
    <w:rsid w:val="00CA1D19"/>
    <w:rsid w:val="00CA3B96"/>
    <w:rsid w:val="00CA40D0"/>
    <w:rsid w:val="00CA52AE"/>
    <w:rsid w:val="00CA5CFA"/>
    <w:rsid w:val="00CA61EC"/>
    <w:rsid w:val="00CB766E"/>
    <w:rsid w:val="00CC47F3"/>
    <w:rsid w:val="00CC4B45"/>
    <w:rsid w:val="00CC7FC9"/>
    <w:rsid w:val="00CD1E18"/>
    <w:rsid w:val="00CD5E81"/>
    <w:rsid w:val="00CE0077"/>
    <w:rsid w:val="00CE1B96"/>
    <w:rsid w:val="00CE78BE"/>
    <w:rsid w:val="00CF2403"/>
    <w:rsid w:val="00CF27C5"/>
    <w:rsid w:val="00D01603"/>
    <w:rsid w:val="00D0504E"/>
    <w:rsid w:val="00D1010A"/>
    <w:rsid w:val="00D130DB"/>
    <w:rsid w:val="00D14F2C"/>
    <w:rsid w:val="00D163C2"/>
    <w:rsid w:val="00D2193A"/>
    <w:rsid w:val="00D310B1"/>
    <w:rsid w:val="00D311A6"/>
    <w:rsid w:val="00D349DA"/>
    <w:rsid w:val="00D42E8F"/>
    <w:rsid w:val="00D45F54"/>
    <w:rsid w:val="00D46401"/>
    <w:rsid w:val="00D47557"/>
    <w:rsid w:val="00D500C7"/>
    <w:rsid w:val="00D566E6"/>
    <w:rsid w:val="00D6099E"/>
    <w:rsid w:val="00D60F46"/>
    <w:rsid w:val="00D630F2"/>
    <w:rsid w:val="00D65FF3"/>
    <w:rsid w:val="00D80AD6"/>
    <w:rsid w:val="00D81706"/>
    <w:rsid w:val="00D8178F"/>
    <w:rsid w:val="00D818AC"/>
    <w:rsid w:val="00D923B7"/>
    <w:rsid w:val="00D92D7E"/>
    <w:rsid w:val="00D939DD"/>
    <w:rsid w:val="00D9602B"/>
    <w:rsid w:val="00DA2AD8"/>
    <w:rsid w:val="00DA36DE"/>
    <w:rsid w:val="00DA3EE7"/>
    <w:rsid w:val="00DA48CE"/>
    <w:rsid w:val="00DA4F0B"/>
    <w:rsid w:val="00DB5DCF"/>
    <w:rsid w:val="00DB6B9E"/>
    <w:rsid w:val="00DB784D"/>
    <w:rsid w:val="00DC1B74"/>
    <w:rsid w:val="00DC7C8E"/>
    <w:rsid w:val="00DD087D"/>
    <w:rsid w:val="00DD66D3"/>
    <w:rsid w:val="00DE23E9"/>
    <w:rsid w:val="00DE57A2"/>
    <w:rsid w:val="00DE644D"/>
    <w:rsid w:val="00DE7159"/>
    <w:rsid w:val="00DE7EF9"/>
    <w:rsid w:val="00DE7F2A"/>
    <w:rsid w:val="00DF429E"/>
    <w:rsid w:val="00DF521C"/>
    <w:rsid w:val="00E02996"/>
    <w:rsid w:val="00E041FE"/>
    <w:rsid w:val="00E14AE5"/>
    <w:rsid w:val="00E3079D"/>
    <w:rsid w:val="00E3701D"/>
    <w:rsid w:val="00E4340F"/>
    <w:rsid w:val="00E46A6D"/>
    <w:rsid w:val="00E503E5"/>
    <w:rsid w:val="00E51A43"/>
    <w:rsid w:val="00E533F0"/>
    <w:rsid w:val="00E53F27"/>
    <w:rsid w:val="00E55425"/>
    <w:rsid w:val="00E5600E"/>
    <w:rsid w:val="00E5799B"/>
    <w:rsid w:val="00E62683"/>
    <w:rsid w:val="00E66106"/>
    <w:rsid w:val="00E6733E"/>
    <w:rsid w:val="00E73085"/>
    <w:rsid w:val="00E7492D"/>
    <w:rsid w:val="00E74B1C"/>
    <w:rsid w:val="00E7513E"/>
    <w:rsid w:val="00E75FBC"/>
    <w:rsid w:val="00E835D7"/>
    <w:rsid w:val="00E87D78"/>
    <w:rsid w:val="00E917FA"/>
    <w:rsid w:val="00E97C4B"/>
    <w:rsid w:val="00E97D01"/>
    <w:rsid w:val="00EA1FD5"/>
    <w:rsid w:val="00EA639F"/>
    <w:rsid w:val="00EA7DF0"/>
    <w:rsid w:val="00EB40DC"/>
    <w:rsid w:val="00EB4631"/>
    <w:rsid w:val="00EB6E10"/>
    <w:rsid w:val="00EC0B25"/>
    <w:rsid w:val="00EC1180"/>
    <w:rsid w:val="00EC4F92"/>
    <w:rsid w:val="00EC7EC5"/>
    <w:rsid w:val="00ED4342"/>
    <w:rsid w:val="00ED617A"/>
    <w:rsid w:val="00EE1D5B"/>
    <w:rsid w:val="00EE5D89"/>
    <w:rsid w:val="00EE7BD3"/>
    <w:rsid w:val="00EF5814"/>
    <w:rsid w:val="00F01768"/>
    <w:rsid w:val="00F04003"/>
    <w:rsid w:val="00F0542D"/>
    <w:rsid w:val="00F160B3"/>
    <w:rsid w:val="00F1744F"/>
    <w:rsid w:val="00F17464"/>
    <w:rsid w:val="00F17FDB"/>
    <w:rsid w:val="00F24707"/>
    <w:rsid w:val="00F31229"/>
    <w:rsid w:val="00F315C0"/>
    <w:rsid w:val="00F4431A"/>
    <w:rsid w:val="00F45586"/>
    <w:rsid w:val="00F4592E"/>
    <w:rsid w:val="00F467C8"/>
    <w:rsid w:val="00F52E1E"/>
    <w:rsid w:val="00F53354"/>
    <w:rsid w:val="00F55D4C"/>
    <w:rsid w:val="00F6121C"/>
    <w:rsid w:val="00F65A66"/>
    <w:rsid w:val="00F65F3E"/>
    <w:rsid w:val="00F72EFA"/>
    <w:rsid w:val="00F80B45"/>
    <w:rsid w:val="00F87F67"/>
    <w:rsid w:val="00F93A7F"/>
    <w:rsid w:val="00FA0C56"/>
    <w:rsid w:val="00FA61DD"/>
    <w:rsid w:val="00FB0F0B"/>
    <w:rsid w:val="00FB153B"/>
    <w:rsid w:val="00FB53D8"/>
    <w:rsid w:val="00FC4C49"/>
    <w:rsid w:val="00FC5706"/>
    <w:rsid w:val="00FC6541"/>
    <w:rsid w:val="00FD0CF9"/>
    <w:rsid w:val="00FD1A8D"/>
    <w:rsid w:val="00FD64F4"/>
    <w:rsid w:val="00FD6784"/>
    <w:rsid w:val="00FE5B12"/>
    <w:rsid w:val="00FE6E15"/>
    <w:rsid w:val="00FF1251"/>
    <w:rsid w:val="00FF28A9"/>
    <w:rsid w:val="00FF3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4164B"/>
  <w15:chartTrackingRefBased/>
  <w15:docId w15:val="{E111165E-EFFB-4393-AA21-3554561A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4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43A7B"/>
    <w:rPr>
      <w:sz w:val="16"/>
      <w:szCs w:val="16"/>
    </w:rPr>
  </w:style>
  <w:style w:type="paragraph" w:styleId="CommentText">
    <w:name w:val="annotation text"/>
    <w:basedOn w:val="Normal"/>
    <w:link w:val="CommentTextChar"/>
    <w:uiPriority w:val="99"/>
    <w:unhideWhenUsed/>
    <w:qFormat/>
    <w:rsid w:val="00C43A7B"/>
    <w:pPr>
      <w:spacing w:line="240" w:lineRule="auto"/>
    </w:pPr>
    <w:rPr>
      <w:sz w:val="20"/>
      <w:szCs w:val="20"/>
    </w:rPr>
  </w:style>
  <w:style w:type="character" w:customStyle="1" w:styleId="CommentTextChar">
    <w:name w:val="Comment Text Char"/>
    <w:basedOn w:val="DefaultParagraphFont"/>
    <w:link w:val="CommentText"/>
    <w:uiPriority w:val="99"/>
    <w:qFormat/>
    <w:rsid w:val="00C43A7B"/>
    <w:rPr>
      <w:sz w:val="20"/>
      <w:szCs w:val="20"/>
    </w:rPr>
  </w:style>
  <w:style w:type="paragraph" w:styleId="CommentSubject">
    <w:name w:val="annotation subject"/>
    <w:basedOn w:val="CommentText"/>
    <w:next w:val="CommentText"/>
    <w:link w:val="CommentSubjectChar"/>
    <w:uiPriority w:val="99"/>
    <w:semiHidden/>
    <w:unhideWhenUsed/>
    <w:rsid w:val="00C43A7B"/>
    <w:rPr>
      <w:b/>
      <w:bCs/>
    </w:rPr>
  </w:style>
  <w:style w:type="character" w:customStyle="1" w:styleId="CommentSubjectChar">
    <w:name w:val="Comment Subject Char"/>
    <w:basedOn w:val="CommentTextChar"/>
    <w:link w:val="CommentSubject"/>
    <w:uiPriority w:val="99"/>
    <w:semiHidden/>
    <w:rsid w:val="00C43A7B"/>
    <w:rPr>
      <w:b/>
      <w:bCs/>
      <w:sz w:val="20"/>
      <w:szCs w:val="20"/>
    </w:rPr>
  </w:style>
  <w:style w:type="paragraph" w:styleId="Header">
    <w:name w:val="header"/>
    <w:basedOn w:val="Normal"/>
    <w:link w:val="HeaderChar"/>
    <w:unhideWhenUsed/>
    <w:rsid w:val="00156BD4"/>
    <w:pPr>
      <w:tabs>
        <w:tab w:val="center" w:pos="4680"/>
        <w:tab w:val="right" w:pos="9360"/>
      </w:tabs>
      <w:spacing w:after="0" w:line="240" w:lineRule="auto"/>
    </w:pPr>
  </w:style>
  <w:style w:type="character" w:customStyle="1" w:styleId="HeaderChar">
    <w:name w:val="Header Char"/>
    <w:basedOn w:val="DefaultParagraphFont"/>
    <w:link w:val="Header"/>
    <w:rsid w:val="00156BD4"/>
  </w:style>
  <w:style w:type="paragraph" w:styleId="Footer">
    <w:name w:val="footer"/>
    <w:basedOn w:val="Normal"/>
    <w:link w:val="FooterChar"/>
    <w:uiPriority w:val="99"/>
    <w:unhideWhenUsed/>
    <w:rsid w:val="00156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BD4"/>
  </w:style>
  <w:style w:type="character" w:customStyle="1" w:styleId="cf01">
    <w:name w:val="cf01"/>
    <w:basedOn w:val="DefaultParagraphFont"/>
    <w:rsid w:val="003129F9"/>
    <w:rPr>
      <w:rFonts w:ascii="Segoe UI" w:hAnsi="Segoe UI" w:cs="Segoe UI" w:hint="default"/>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75FBC"/>
    <w:pPr>
      <w:ind w:left="720"/>
      <w:contextualSpacing/>
    </w:pPr>
  </w:style>
  <w:style w:type="paragraph" w:styleId="Revision">
    <w:name w:val="Revision"/>
    <w:hidden/>
    <w:uiPriority w:val="99"/>
    <w:semiHidden/>
    <w:rsid w:val="00AE7643"/>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qFormat/>
    <w:locked/>
    <w:rsid w:val="00410F75"/>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10F75"/>
    <w:pPr>
      <w:spacing w:after="0" w:line="240" w:lineRule="auto"/>
    </w:pPr>
    <w:rPr>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10F75"/>
    <w:rPr>
      <w:kern w:val="0"/>
      <w:sz w:val="20"/>
      <w:szCs w:val="20"/>
      <w14:ligatures w14:val="none"/>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nhideWhenUsed/>
    <w:qFormat/>
    <w:rsid w:val="00410F7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10F75"/>
    <w:pPr>
      <w:spacing w:line="240" w:lineRule="exact"/>
    </w:pPr>
    <w:rPr>
      <w:vertAlign w:val="superscript"/>
    </w:rPr>
  </w:style>
  <w:style w:type="character" w:customStyle="1" w:styleId="normaltextrun">
    <w:name w:val="normaltextrun"/>
    <w:basedOn w:val="DefaultParagraphFont"/>
    <w:rsid w:val="00CA3B96"/>
  </w:style>
  <w:style w:type="character" w:customStyle="1" w:styleId="eop">
    <w:name w:val="eop"/>
    <w:basedOn w:val="DefaultParagraphFont"/>
    <w:rsid w:val="00CA3B96"/>
  </w:style>
  <w:style w:type="character" w:styleId="PageNumber">
    <w:name w:val="page number"/>
    <w:basedOn w:val="DefaultParagraphFont"/>
    <w:rsid w:val="00DE644D"/>
  </w:style>
  <w:style w:type="character" w:customStyle="1" w:styleId="Style1">
    <w:name w:val="Style1"/>
    <w:basedOn w:val="DefaultParagraphFont"/>
    <w:uiPriority w:val="1"/>
    <w:rsid w:val="00106BDC"/>
    <w:rPr>
      <w:b/>
    </w:rPr>
  </w:style>
  <w:style w:type="paragraph" w:styleId="BalloonText">
    <w:name w:val="Balloon Text"/>
    <w:basedOn w:val="Normal"/>
    <w:link w:val="BalloonTextChar"/>
    <w:uiPriority w:val="99"/>
    <w:semiHidden/>
    <w:unhideWhenUsed/>
    <w:rsid w:val="000C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C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087921">
      <w:bodyDiv w:val="1"/>
      <w:marLeft w:val="0"/>
      <w:marRight w:val="0"/>
      <w:marTop w:val="0"/>
      <w:marBottom w:val="0"/>
      <w:divBdr>
        <w:top w:val="none" w:sz="0" w:space="0" w:color="auto"/>
        <w:left w:val="none" w:sz="0" w:space="0" w:color="auto"/>
        <w:bottom w:val="none" w:sz="0" w:space="0" w:color="auto"/>
        <w:right w:val="none" w:sz="0" w:space="0" w:color="auto"/>
      </w:divBdr>
    </w:div>
    <w:div w:id="502595803">
      <w:bodyDiv w:val="1"/>
      <w:marLeft w:val="0"/>
      <w:marRight w:val="0"/>
      <w:marTop w:val="0"/>
      <w:marBottom w:val="0"/>
      <w:divBdr>
        <w:top w:val="none" w:sz="0" w:space="0" w:color="auto"/>
        <w:left w:val="none" w:sz="0" w:space="0" w:color="auto"/>
        <w:bottom w:val="none" w:sz="0" w:space="0" w:color="auto"/>
        <w:right w:val="none" w:sz="0" w:space="0" w:color="auto"/>
      </w:divBdr>
    </w:div>
    <w:div w:id="596602959">
      <w:bodyDiv w:val="1"/>
      <w:marLeft w:val="0"/>
      <w:marRight w:val="0"/>
      <w:marTop w:val="0"/>
      <w:marBottom w:val="0"/>
      <w:divBdr>
        <w:top w:val="none" w:sz="0" w:space="0" w:color="auto"/>
        <w:left w:val="none" w:sz="0" w:space="0" w:color="auto"/>
        <w:bottom w:val="none" w:sz="0" w:space="0" w:color="auto"/>
        <w:right w:val="none" w:sz="0" w:space="0" w:color="auto"/>
      </w:divBdr>
    </w:div>
    <w:div w:id="756630207">
      <w:bodyDiv w:val="1"/>
      <w:marLeft w:val="0"/>
      <w:marRight w:val="0"/>
      <w:marTop w:val="0"/>
      <w:marBottom w:val="0"/>
      <w:divBdr>
        <w:top w:val="none" w:sz="0" w:space="0" w:color="auto"/>
        <w:left w:val="none" w:sz="0" w:space="0" w:color="auto"/>
        <w:bottom w:val="none" w:sz="0" w:space="0" w:color="auto"/>
        <w:right w:val="none" w:sz="0" w:space="0" w:color="auto"/>
      </w:divBdr>
    </w:div>
    <w:div w:id="907768801">
      <w:bodyDiv w:val="1"/>
      <w:marLeft w:val="0"/>
      <w:marRight w:val="0"/>
      <w:marTop w:val="0"/>
      <w:marBottom w:val="0"/>
      <w:divBdr>
        <w:top w:val="none" w:sz="0" w:space="0" w:color="auto"/>
        <w:left w:val="none" w:sz="0" w:space="0" w:color="auto"/>
        <w:bottom w:val="none" w:sz="0" w:space="0" w:color="auto"/>
        <w:right w:val="none" w:sz="0" w:space="0" w:color="auto"/>
      </w:divBdr>
    </w:div>
    <w:div w:id="1010986123">
      <w:bodyDiv w:val="1"/>
      <w:marLeft w:val="0"/>
      <w:marRight w:val="0"/>
      <w:marTop w:val="0"/>
      <w:marBottom w:val="0"/>
      <w:divBdr>
        <w:top w:val="none" w:sz="0" w:space="0" w:color="auto"/>
        <w:left w:val="none" w:sz="0" w:space="0" w:color="auto"/>
        <w:bottom w:val="none" w:sz="0" w:space="0" w:color="auto"/>
        <w:right w:val="none" w:sz="0" w:space="0" w:color="auto"/>
      </w:divBdr>
    </w:div>
    <w:div w:id="1038971330">
      <w:bodyDiv w:val="1"/>
      <w:marLeft w:val="0"/>
      <w:marRight w:val="0"/>
      <w:marTop w:val="0"/>
      <w:marBottom w:val="0"/>
      <w:divBdr>
        <w:top w:val="none" w:sz="0" w:space="0" w:color="auto"/>
        <w:left w:val="none" w:sz="0" w:space="0" w:color="auto"/>
        <w:bottom w:val="none" w:sz="0" w:space="0" w:color="auto"/>
        <w:right w:val="none" w:sz="0" w:space="0" w:color="auto"/>
      </w:divBdr>
    </w:div>
    <w:div w:id="1224676850">
      <w:bodyDiv w:val="1"/>
      <w:marLeft w:val="0"/>
      <w:marRight w:val="0"/>
      <w:marTop w:val="0"/>
      <w:marBottom w:val="0"/>
      <w:divBdr>
        <w:top w:val="none" w:sz="0" w:space="0" w:color="auto"/>
        <w:left w:val="none" w:sz="0" w:space="0" w:color="auto"/>
        <w:bottom w:val="none" w:sz="0" w:space="0" w:color="auto"/>
        <w:right w:val="none" w:sz="0" w:space="0" w:color="auto"/>
      </w:divBdr>
    </w:div>
    <w:div w:id="1669602552">
      <w:bodyDiv w:val="1"/>
      <w:marLeft w:val="0"/>
      <w:marRight w:val="0"/>
      <w:marTop w:val="0"/>
      <w:marBottom w:val="0"/>
      <w:divBdr>
        <w:top w:val="none" w:sz="0" w:space="0" w:color="auto"/>
        <w:left w:val="none" w:sz="0" w:space="0" w:color="auto"/>
        <w:bottom w:val="none" w:sz="0" w:space="0" w:color="auto"/>
        <w:right w:val="none" w:sz="0" w:space="0" w:color="auto"/>
      </w:divBdr>
    </w:div>
    <w:div w:id="1716389137">
      <w:bodyDiv w:val="1"/>
      <w:marLeft w:val="0"/>
      <w:marRight w:val="0"/>
      <w:marTop w:val="0"/>
      <w:marBottom w:val="0"/>
      <w:divBdr>
        <w:top w:val="none" w:sz="0" w:space="0" w:color="auto"/>
        <w:left w:val="none" w:sz="0" w:space="0" w:color="auto"/>
        <w:bottom w:val="none" w:sz="0" w:space="0" w:color="auto"/>
        <w:right w:val="none" w:sz="0" w:space="0" w:color="auto"/>
      </w:divBdr>
    </w:div>
    <w:div w:id="1733310389">
      <w:bodyDiv w:val="1"/>
      <w:marLeft w:val="0"/>
      <w:marRight w:val="0"/>
      <w:marTop w:val="0"/>
      <w:marBottom w:val="0"/>
      <w:divBdr>
        <w:top w:val="none" w:sz="0" w:space="0" w:color="auto"/>
        <w:left w:val="none" w:sz="0" w:space="0" w:color="auto"/>
        <w:bottom w:val="none" w:sz="0" w:space="0" w:color="auto"/>
        <w:right w:val="none" w:sz="0" w:space="0" w:color="auto"/>
      </w:divBdr>
    </w:div>
    <w:div w:id="1820731466">
      <w:bodyDiv w:val="1"/>
      <w:marLeft w:val="0"/>
      <w:marRight w:val="0"/>
      <w:marTop w:val="0"/>
      <w:marBottom w:val="0"/>
      <w:divBdr>
        <w:top w:val="none" w:sz="0" w:space="0" w:color="auto"/>
        <w:left w:val="none" w:sz="0" w:space="0" w:color="auto"/>
        <w:bottom w:val="none" w:sz="0" w:space="0" w:color="auto"/>
        <w:right w:val="none" w:sz="0" w:space="0" w:color="auto"/>
      </w:divBdr>
    </w:div>
    <w:div w:id="1875918052">
      <w:bodyDiv w:val="1"/>
      <w:marLeft w:val="0"/>
      <w:marRight w:val="0"/>
      <w:marTop w:val="0"/>
      <w:marBottom w:val="0"/>
      <w:divBdr>
        <w:top w:val="none" w:sz="0" w:space="0" w:color="auto"/>
        <w:left w:val="none" w:sz="0" w:space="0" w:color="auto"/>
        <w:bottom w:val="none" w:sz="0" w:space="0" w:color="auto"/>
        <w:right w:val="none" w:sz="0" w:space="0" w:color="auto"/>
      </w:divBdr>
    </w:div>
    <w:div w:id="2022006235">
      <w:bodyDiv w:val="1"/>
      <w:marLeft w:val="0"/>
      <w:marRight w:val="0"/>
      <w:marTop w:val="0"/>
      <w:marBottom w:val="0"/>
      <w:divBdr>
        <w:top w:val="none" w:sz="0" w:space="0" w:color="auto"/>
        <w:left w:val="none" w:sz="0" w:space="0" w:color="auto"/>
        <w:bottom w:val="none" w:sz="0" w:space="0" w:color="auto"/>
        <w:right w:val="none" w:sz="0" w:space="0" w:color="auto"/>
      </w:divBdr>
    </w:div>
    <w:div w:id="210660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42B7A8E7-7F50-4D46-B263-679F46199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090D7E-90D2-431B-A338-92AF4022BCC6}">
  <ds:schemaRefs>
    <ds:schemaRef ds:uri="http://schemas.microsoft.com/sharepoint/v3/contenttype/forms"/>
  </ds:schemaRefs>
</ds:datastoreItem>
</file>

<file path=customXml/itemProps3.xml><?xml version="1.0" encoding="utf-8"?>
<ds:datastoreItem xmlns:ds="http://schemas.openxmlformats.org/officeDocument/2006/customXml" ds:itemID="{B6A1BECC-6E05-4E1A-AA98-6BF42AC48A5D}">
  <ds:schemaRefs>
    <ds:schemaRef ds:uri="http://schemas.openxmlformats.org/officeDocument/2006/bibliography"/>
  </ds:schemaRefs>
</ds:datastoreItem>
</file>

<file path=customXml/itemProps4.xml><?xml version="1.0" encoding="utf-8"?>
<ds:datastoreItem xmlns:ds="http://schemas.openxmlformats.org/officeDocument/2006/customXml" ds:itemID="{0F2B03E0-82DF-4D8C-9F93-6AA8B8F983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Sargov</dc:creator>
  <cp:keywords/>
  <dc:description/>
  <cp:lastModifiedBy>Jenica Craciun</cp:lastModifiedBy>
  <cp:revision>19</cp:revision>
  <cp:lastPrinted>2023-07-27T23:38:00Z</cp:lastPrinted>
  <dcterms:created xsi:type="dcterms:W3CDTF">2025-10-23T12:26:00Z</dcterms:created>
  <dcterms:modified xsi:type="dcterms:W3CDTF">2025-11-26T11:11:00Z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GrammarlyDocumentId">
    <vt:lpwstr>33683cc7fc982fa3ecd53fc086c254be7c5bcfdde6f985498a7797c23667cee3</vt:lpwstr>
  </property>
</Properties>
</file>